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PE10.029421 vom 10. September 2012</w:t>
      </w:r>
    </w:p>
    <w:p>
      <w:r>
        <w:t>VD Tribunal cantonal, 2012-09-10, FR</w:t>
      </w:r>
    </w:p>
    <w:p>
      <w:r>
        <w:rPr>
          <w:b/>
        </w:rPr>
        <w:t xml:space="preserve">Quelle: </w:t>
      </w:r>
      <w:r>
        <w:t>https://mcp.opencaselaw.ch/entscheid/vd_gerichte_PE10.029421</w:t>
      </w:r>
    </w:p>
    <w:p>
      <w:r>
        <w:t>FR: VD_GERICHTE PE10.029421 du 10 septembre 2012</w:t>
      </w:r>
    </w:p>
    <w:p>
      <w:r>
        <w:t>IT: VD_GERICHTE PE10.029421 del 10 settembre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l'appel du Ministère public doit être rejeté et le jugement de première instance confirmé dans son intégralité.</w:t>
      </w:r>
    </w:p>
    <w:p>
      <w:r>
        <w:rPr>
          <w:b/>
        </w:rPr>
        <w:t>E. 6</w:t>
      </w:r>
    </w:p>
    <w:p>
      <w:r>
        <w:t>Vu l'issue de la cause, les frais d'appel comprenant l'émolument de 1'800 fr. (art. 21 TFJP [Tarif des frais judiciaires pénaux du 28 septembre 2010, RSV 312.03.1]) et l'indemnité allouée au défenseur d'office de T.________ par 1'098 fr. 90, TVA et débours compris, sont laissés à la charge de l'Etat.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