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PE10.028631 vom 22. Mai 2012</w:t>
      </w:r>
    </w:p>
    <w:p>
      <w:r>
        <w:t>VD Tribunal cantonal, 2012-05-22, FR</w:t>
      </w:r>
    </w:p>
    <w:p>
      <w:r>
        <w:rPr>
          <w:b/>
        </w:rPr>
        <w:t xml:space="preserve">Quelle: </w:t>
      </w:r>
      <w:r>
        <w:t>https://mcp.opencaselaw.ch/entscheid/vd_gerichte_PE10.028631</w:t>
      </w:r>
    </w:p>
    <w:p>
      <w:r>
        <w:t>FR: VD_GERICHTE PE10.028631 du 22 mai 2012</w:t>
      </w:r>
    </w:p>
    <w:p>
      <w:r>
        <w:t>IT: VD_GERICHTE PE10.028631 del 22 maggio 2012</w:t>
      </w:r>
    </w:p>
    <w:p>
      <w:pPr>
        <w:pStyle w:val="Heading2"/>
      </w:pPr>
      <w:r>
        <w:t>Erwägungen</w:t>
      </w:r>
    </w:p>
    <w:p>
      <w:r>
        <w:rPr>
          <w:b/>
        </w:rPr>
        <w:t>E. 1</w:t>
      </w:r>
    </w:p>
    <w:p>
      <w:r>
        <w:t>a) Une décision fixant une indemnité au sens de l'art. 429 CPP peut être attaquée auprès de l’autorité de recours (Wehrenberg/Bernhard, in: Niggli/Heer/Wiprächtiger (éd.), Basler Kommentar, Schweizerische</w:t>
      </w:r>
    </w:p>
    <w:p>
      <w:r>
        <w:t>- 4 - Strafprozessordnung, Jugendstrafprozessordnung, Bâle 2011, n. 33 ad art. 429 CPP; Mizel/Rétornaz, in: Kuhn/Jeanneret (éd.), Commentaire romand, Code de procédure pénale suisse, Bâle 2011, n. 62 ad art. 429 CPP; Juge unique CREP 5 décembre 2011/612 c. 1a).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déposé en temps utile devant l’autorité compétente par le prévenu qui a qualité pour recourir contre la décision fixant son indemnité,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Juge unique CREP 5 décembre 2011/612 c. 1b).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w:t>
      </w:r>
    </w:p>
    <w:p>
      <w:r>
        <w:t>- 5 - En l'occurrence, le montant réclamé par le recourant, dont la décision litigieuse a rejeté la demande d’indemnité, s'élève à 1'260 fr. 65, de sorte que le recours relève de la compétence d'un juge unique de la Chambre des recours pénale (art. 395 let. b CPP; Juge unique CREP 5 décembre 2011/612 c. 1b).</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op. cit.,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CAPE 14 mars 2012/88 c. 2.2). b) L'indemnisation des frais d'avocat ne se limite pas aux cas de défense obligatoire (cf. art. 130 CPP), ni à ceux où le bénéfice de la</w:t>
      </w:r>
    </w:p>
    <w:p>
      <w:r>
        <w:t>- 6 -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CAPE 14 mars 2012/88 c. 2.2; Juge unique CREP 9 mars 2012/152; Juge unique CREP 14 février 2012/79; cf. déjà ATF 115 IV 156 c. 2d). c) En l’espèce, le recourant était prévenu des infractions de diffamation, calomnie et injure (art. 173, 174 et 177 CP), qui sont des délits au sens de l’art. 10 al. 3 CP. En outre, la partie plaignante était elle- même assistée d’un avocat et, au vu de l’enjeu de la procédure pour le recourant, qui était mis en cause pour des propos tenus dans le cadre de son activité de représentant professionnel (non-juriste) autorisé par une organisation représentative de locataires de mandataire, au sens de l’art. 11 al. 1 LJB (loi sur la juridiction en matière de bail; RSV 173.665), l’assistance d’un avocat apparaît justifiée. Etant donné le classement de la procédure dirigée contre lui, P.________ a donc droit à une indemnité au sens de l’art. 429 al. 1 let. a CPP, à la charge de l’Etat, étant précisé que les conditions d’une indemnisation du prévenu par la partie plaignante selon l’art. 432 CPP ne sont pas réalisées. Au vu des 4.6 heures de travail effectuées par l’avocat du recourant – qui apparaissent justifiées au vu de la liste des opérations produite le 1er décembre 2011 (P. 21) – et des débours dudit mandataire, le montant de 1'260 fr. réclamé par le recourant paraît adéquat et peut lui</w:t>
      </w:r>
    </w:p>
    <w:p>
      <w:r>
        <w:t>- 7 - être accordé, en tenant compte d'un tarif horaire de 270 francs. S’agissant de ce tarif, il sied de préciser que l’indemnité de l’art. 429 al. 1 let. a CPP, allouée au prévenu lui-même à titre d’indemnisation pour les frais d’avocat qu’il a encourus (cf. c. 2a supra), n’est pas soumise à la TVA, mais que sa fixation doit tenir compte du fait que les honoraires payés par le prévenu à son avocat de choix sont quant à eux soumis à la TVA.</w:t>
      </w:r>
    </w:p>
    <w:p>
      <w:r>
        <w:rPr>
          <w:b/>
        </w:rPr>
        <w:t>E. 3</w:t>
      </w:r>
    </w:p>
    <w:p>
      <w:r>
        <w:t>Il résulte de ce qui précède que le recours doit être admis et l'ordonnance attaquée réformée au chiffre I de son dispositif en ce sens qu'un montant de 1'260 fr. est alloué à P.________ à titre d'indemnité au sens de l'art. 429 al. 1 let. a CPP, à la charge de l'Etat, l'ordonnance étant maintenue pour le surplus. Les frais de la procédure de recours, constitués en l’espèce de l’émolument d’arrêt (art. 422 al. 1 CPP), par 770 fr. (art. 20 al. 1 TFJP [Tarif des frais judiciaires pénaux; RSV 312.03.1]), sont laissés à la charge de l’Etat (art. 428 al. 1 CPP). Le prévenu qui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Au vu du mémoire produit, cette indemnité peut être fixée à 675 francs. Par ces motifs, le Juge de la Chambre des recours pénale, statuant à huis clos, prononce : I. Le recours est admis. II. L'ordonnance du 18 avril 2012 est réformée au chiffre I de son dispositif en ce sens qu'un montant de 1'260 fr. (mille deux cent soixante francs) est alloué à P.________ à titre d'indemnité</w:t>
      </w:r>
    </w:p>
    <w:p>
      <w:r>
        <w:t>- 8 - au sens de l'art. 429 al. 1 let. a CPP, à la charge de l'Etat, l'ordonnance étant maintenue pour le surplus. III. Les frais d'arrêt, par 770 fr. (sept cent septante francs), sont laissés à la charge de l'Etat. IV. Un montant de 675 fr. (six cent septante-cinq francs) est alloué à P.________ à titre d'indemnité, au sens de l'art. 429 al. 1 let. a CPP, pour la procédure de recours, à la charge de l'Etat. V. L'arrêt est exécutoire. Le juge : La greffière : Du L'arrêt qui précède, dont la rédaction a été approuvée à huis clos, est notifié, par l'envoi d'une copie complète, à : - M. Guillaume Perrot, avocat (pour P.________), - Mme Aurélia Rappo, avocate (pour B.________), - Ministère public central; et communiqué à : - M. le Procureur de l'arrondissement de Lausanne, par l’envoi de photocopies.</w:t>
      </w:r>
    </w:p>
    <w:p>
      <w:r>
        <w:t>- 9 -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