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PE10.028200 vom 3. Juni 2016</w:t>
      </w:r>
    </w:p>
    <w:p>
      <w:r>
        <w:t>VD Tribunal cantonal, 2016-06-03, FR</w:t>
      </w:r>
    </w:p>
    <w:p>
      <w:r>
        <w:rPr>
          <w:b/>
        </w:rPr>
        <w:t xml:space="preserve">Quelle: </w:t>
      </w:r>
      <w:r>
        <w:t>https://mcp.opencaselaw.ch/entscheid/vd_gerichte_PE10.028200</w:t>
      </w:r>
    </w:p>
    <w:p>
      <w:r>
        <w:t>FR: VD_GERICHTE PE10.028200 du 3 juin 2016</w:t>
      </w:r>
    </w:p>
    <w:p>
      <w:r>
        <w:t>IT: VD_GERICHTE PE10.028200 del 3 giugno 2016</w:t>
      </w:r>
    </w:p>
    <w:p>
      <w:pPr>
        <w:pStyle w:val="Heading2"/>
      </w:pPr>
      <w:r>
        <w:t>Erwägungen</w:t>
      </w:r>
    </w:p>
    <w:p>
      <w:r>
        <w:rPr>
          <w:b/>
        </w:rPr>
        <w:t>E. 3</w:t>
      </w:r>
    </w:p>
    <w:p>
      <w:r>
        <w:t>En définitive, le recours, manifestement mal fondé, doit être rejeté sans autre échange d’écritures (art. 390 CPP) et l'ordonnance du 13 avril 2016 confirmée. Les frais de la procédure de recours, constitués en l'espèce du seul émolument d'arrêt, par 990 fr. (art. 422 al. 1 CPP et 20 al. 1 TFIP [Tarif des frais de procédure et indemnités en matière pénale du 28 septembre 2010; RSV 312.03.1]), seront mis à la charge des recourants, qui succombent (art. 428 al. 1 CPP), solidairement entre eux (art. 418 al. 2 CPP).</w:t>
      </w:r>
    </w:p>
    <w:p>
      <w:r>
        <w:t>- 10 - Le montant de 550 fr. déjà versé par les recourants le 23 mai 2016 à titre de sûretés (art. 383 al. 1 CPP) sera imputé sur les frais mis à leur charge (art. 7 TFIP). Par ces motifs, la Chambre des recours pénale prononce : I. Le recours est rejeté. II. L’ordonnance du 13 avril 2016 est confirmée. III. Les frais d’arrêt, par 990 fr. (neuf cent nonante francs), sont mis à la charge des recourants, solidairement entre eux. IV. Le montant de 550 fr. (cinq cent cinquante francs) déjà versé par les recourants à titre de sûretés est imputé sur les frais mis à leur charge au chiffre III ci-dessus. V. L’arrêt est exécutoire. Le président : Le greffier : Du Le présent arrêt, dont la rédaction a été approuvée à huis clos, est notifié, par l'envoi d'une copie complète, à : - M. A.S.________, - Mme B.S.________,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