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PE10.026929 vom 24. Januar 2014</w:t>
      </w:r>
    </w:p>
    <w:p>
      <w:r>
        <w:t>VD Tribunal cantonal, 2014-01-24, FR</w:t>
      </w:r>
    </w:p>
    <w:p>
      <w:r>
        <w:rPr>
          <w:b/>
        </w:rPr>
        <w:t xml:space="preserve">Quelle: </w:t>
      </w:r>
      <w:r>
        <w:t>https://mcp.opencaselaw.ch/entscheid/vd_gerichte_PE10.026929</w:t>
      </w:r>
    </w:p>
    <w:p>
      <w:r>
        <w:t>FR: VD_GERICHTE PE10.026929 du 24 janvier 2014</w:t>
      </w:r>
    </w:p>
    <w:p>
      <w:r>
        <w:t>IT: VD_GERICHTE PE10.026929 del 24 gennaio 2014</w:t>
      </w:r>
    </w:p>
    <w:p>
      <w:pPr>
        <w:pStyle w:val="Heading2"/>
      </w:pPr>
      <w:r>
        <w:t>Erwägungen</w:t>
      </w:r>
    </w:p>
    <w:p>
      <w:r>
        <w:rPr>
          <w:b/>
        </w:rPr>
        <w:t>E. 1.1</w:t>
      </w:r>
    </w:p>
    <w:p>
      <w:r>
        <w:t>Né le 13 juillet 1978, C.________ est originaire d’Allemagne. Il est arrivé en Suisse en 1984 où il a effectué toute sa scolarité obligatoire et obtenu une maturité fédérale. A l’âge de 18 ans, il a commencé à exercer le métier d’agent de sécurité et a été à ce titre employé par diverses sociétés. En 2012, il a obtenu un diplôme décerné par l’Arène de la sécurité, confirmant qu’il avait participé à une formation dans le domaine de la sécurité. Il a notamment été engagé par [...] en 2004 en tant qu’agent de sécurité, puis, dès mai 2012, comme cadre avec pour responsabilité de gérer la trésorerie de l’entreprise et le parc informatique ; il est également responsable des événements externes. Il perçoit un salaire net de l’ordre de 3'600 fr. par mois pour une activité à 80%. Il travaille en outre auprès de [...] à titre d’activité accessoire comme manager de l’entreprise informatique spécialisée dans l’application de la carte PVC dans les domaines de la sécurité, de la fidélité et des membres,</w:t>
      </w:r>
    </w:p>
    <w:p>
      <w:r>
        <w:t>- 10 - et en retire un revenu d’environ 500 fr. par mois. Enfin, il effectue des missions ponctuelles de sécurité pour [...] pour un salaire horaire de 27 fr. ; il estime son revenu annuel pour cette activité à environ 3'000 ou 4'000 francs. De plus, le Département de sécurité et de l’économie du canton de Genève lui a délivré une carte d’agent de sécurité, mention sécurité privée pour [...]. C.________ est célibataire et sans enfant. Il s’acquitte d’un loyer mensuel de 1'100 fr., de primes d’assurance-maladie d’environ 410 fr. par mois et de frais médicaux liés à son diabète d’environ 2'000 fr. par an. Il n’a pas de poursuites ; il est co-débiteur solidaire d’un crédit hypothécaire concernant un appartement dont son ex-amie est propriétaire, dette dont les annuités sont actuellement entièrement réglées par cette dernière. Son casier judiciaire est vierge.</w:t>
      </w:r>
    </w:p>
    <w:p>
      <w:r>
        <w:rPr>
          <w:b/>
        </w:rPr>
        <w:t>E. 1.2</w:t>
      </w:r>
    </w:p>
    <w:p>
      <w:r>
        <w:t>Né le 18 mai 1974, A.________ est originaire de Serbie-et- Monténégro. Il a effectué toute sa scolarité au Kosovo, où il a également suivi une formation de professeur de gymnastique. Il est arrivé en Suisse à l’âge de 25 ans. Son diplôme de professeur de gymnastique n’y étant pas reconnu, il a effectué divers emplois, notamment dans une usine puis des placements par [...]. A la suite d’un accident du travail, il a exercé le métier d’agent de sécurité sans toutefois n’avoir de formation dans ce domaine. Actuellement, il travaille à 50% pour l’agence de sécurité [...] depuis deux ans, où il bénéficie d’un contrat de durée indéterminée et gagne 1'500 fr. net par mois. Il est marié et a deux enfants âgés de 4 ans et demi et de 2 ans et demi. Son loyer mensuel s’élève à 1'000 fr. et ses primes d’assurance-maladie sont subsidiées. Son épouse travaille à 100% depuis décembre 2013 et perçoit un salaire net de 3'500 fr. par mois. Le couple s’acquitte de 300 fr. par mois de frais de crèche. Avant décembre 2013, la famille devait recourir à l’aide des services sociaux. A.________ déclare faire l’objet de poursuites totalisant entre 6'000 et 10'000 francs. Son casier judiciaire fait mention des condamnations suivantes :</w:t>
      </w:r>
    </w:p>
    <w:p>
      <w:r>
        <w:t>- 11 - - le 30 octobre 2001, par le Juge d’instruction du Nord vaudois, pour vol et utilisation frauduleuse d’un ordinateur, à 1 mois d’emprisonnement avec sursis pendant 4 ans ; - le 5 novembre 2002, par le Juge d’instruction du Nord vaudois, pour faux dans les certificats et circulation malgré un retrait de permis ou refus du permis de conduire, à 40 jours d’emprisonnement avec sursis pendant 2 ans, sursis révoqué le 6 mai 2003, et à une amende de 800 fr. ; - le 6 mai 2003, par le Juge d’instruction de Lausanne, pour violation des règles de la circulation routière, violation des devoirs en cas d’accident et circulation sans permis de conduire, à 20 jours d’emprisonnement et à une amende de 500 fr. ; - le 24 mars 2005, par le Tribunal d’arrondissement de la Broye et du Nord vaudois, pour vol d’usage et circulation sans permis de conduire, à 1 mois d’emprisonnement ; - le 14 août 2009, par le Tribunal de police de la Broye et du Nord vaudois, pour vol d’usage, circulation sans permis de conduire et séjour illégal, à 240 heures de travail d’intérêt général et à une amende de 150 francs. Le fichier fédéral des mesures administratives en matière de circulation routière fait état des mesures suivantes : - le 9 novembre 2011, délai d’attente du 23 octobre 2011 au 22 octobre 2014 pour conduite sans permis, inaptitude (caractère) et vitesse, puis interdiction de faire usage du permis étranger ; - le 25 septembre 2009, refus de délivrer un permis du juin 2009 au 7 juin 2010, pour conduite sans permis ; - le 15 avril 2008, refus de délivrer un permis du 11 janvier 2008 au 10 juillet 2008, pour conduite sans permis ; - le 4 février 2002, interdiction et nouvel examen, pour d’autres motifs.</w:t>
      </w:r>
    </w:p>
    <w:p>
      <w:r>
        <w:t>- 12 -</w:t>
      </w:r>
    </w:p>
    <w:p>
      <w:r>
        <w:rPr>
          <w:b/>
        </w:rPr>
        <w:t>E. 2</w:t>
      </w:r>
    </w:p>
    <w:p>
      <w:r>
        <w:t>I.D.________ a passé une partie de la soirée du 30 au 31 octobre 2010 dans l’établissement le Q.________ sis à [...], à Yverdon-les- Bains. Au moment de la fermeture, V.________, l’un des agents de sécurité du club, a donné une tape derrière la tête d’I.D.________, qui refusait de sortir de l’établissement, ce qui a déclenché la colère de ce dernier et l’a amené à demander à V.________ de venir s’expliquer dehors. Une fois à l’extérieur de l’établissement, I.D.________ a prévenu son frère J.D.________ et son cousin K.D.________ de la situation, soit qu’il y avait eu une altercation avec l’un des agents de sécurité du club, et leur a demandé de le retrouver devant l’établissement. Ceux-ci l’ont rejoint en voiture. Des clients du club non identifiés se sont joints à eux et ont formé un attroupement devant l’établissement. Lorsque les agents de sécurité du club, à savoir C.________, V.________, M.________, A.________ et S.________ sont sortis de l’établissement pour le fermer, ils se sont retrouvés face à cet attroupement. A.________, comme K.D.________, ont d’abord tenté de calmer les esprits, notamment I.D.________ qui était passablement excité et qui se plaignait avec insistance d’avoir été frappé par les membres du service de sécurité. A un moment donné, après des échanges d’insultes, la situation a dégénéré en une violente bagarre à laquelle ont participé activement les agents de sécurité V.________, M.________ et A.________, d’une part, ainsi qu’I.D.________ et J.D.________ d’autre part. Des coups de pied et de poing ont été échangés. I.D.________ a notamment frappé A.________ dans le dos. Ce dernier et les autres agents de sécurité se sont alors rués sur I.D.________ et l’ont frappé, notamment à coups de poing et de pied. V.________ a pour sa part donné à I.D.________ un coup au niveau de l’avant-bras au moyen d’une batte de baseball dont il s’était emparé. J.D.________ a lui reçu un coup au visage et sur l’épaule gauche de M.________ ; il s’est emparé d’un marteau à viande qu’il a lancé en direction d’A.________ sans toutefois l’atteindre. D’autres personnes non identifiées ont par la suite participé à la cohue générale. Le chef des agents de sécurité, C.________, pour sa part, ne se trouvait pas dans la mêlée. Avant que la bagarre n’éclate, il avait tenté de</w:t>
      </w:r>
    </w:p>
    <w:p>
      <w:r>
        <w:t>- 13 - retenir M.________ et V.________, en vain. Il était alors retourné à l’intérieur de l’établissement pour demander à la patronne d’appeler la police. Lorsqu’il est ressorti, il a vu la bagarre, mais la police est rapidement intervenue. Deux patrouilles de la police municipale sont ainsi intervenues vers 5h10 et ont dispersé les combattants. I.D.________ et J.D.________ ont alors traité A.________ de « fils de pute » et de « sale albanais » et l’ont menacé de mort. A la suite de l’altercation, I.D.________ a été blessé. Un certificat médical du 31 octobre 2010 et un rapport médical du 28 février 2012 attestent d’un hématome de 5 cm sur 3 cm à la face antéro-interne du tibia gauche, d’un hématome de 6 cm sur 5 cm à la face interne de la cuisse gauche, de dermabrasion à la paume de la main droite, d’un hématome et tuméfaction de 5 cm sur 5 cm à la face postéro-interne de l’avant bras gauche, de dermabrasions à la face postéro-exteme avant bras gauche et à la mâchoire, ainsi que d’un hématome de 2 cm sur 2 cm au niveau frontopariétal gauche. A.________ a déposé plainte le 24 novembre 2010 contre I.D.________ et J.D.________. Il a finalement retiré sa plainte contre I.D.________, mais l’a maintenue contre J.D.________. I.D.________ a déposé plainte le 1er novembre 2010 et l’a retirée le 3 décembre 2010.</w:t>
      </w:r>
    </w:p>
    <w:p>
      <w:r>
        <w:rPr>
          <w:b/>
        </w:rPr>
        <w:t>E. 2.1</w:t>
      </w:r>
    </w:p>
    <w:p>
      <w:r>
        <w:t>; ATF 135 IV 152 c. 3.2.1 ; Kuhn in : Roth/Moreillon [éd.],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w:t>
      </w:r>
    </w:p>
    <w:p>
      <w:r>
        <w:t>- 30 -</w:t>
      </w:r>
    </w:p>
    <w:p>
      <w:r>
        <w:rPr>
          <w:b/>
        </w:rPr>
        <w:t>E. 3</w:t>
      </w:r>
    </w:p>
    <w:p>
      <w:r>
        <w:t>Dans le courant du mois d’octobre 2011, A.________ a consommé de la cocaïne, du MDMA et des amphétamines.</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concernent tant le fardeau de la preuve que l'appréciation des</w:t>
      </w:r>
    </w:p>
    <w:p>
      <w:r>
        <w:t>- 17 -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w:t>
      </w:r>
    </w:p>
    <w:p>
      <w:r>
        <w:rPr>
          <w:b/>
        </w:rPr>
        <w:t>E. 3.1.2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3.1.3</w:t>
      </w:r>
    </w:p>
    <w:p>
      <w:r>
        <w:t>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w:t>
      </w:r>
    </w:p>
    <w:p>
      <w:r>
        <w:t>- 18 -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 2 ; ATF 106 IV 246 c. 3e ; ATF 104 IV 53 c. 2b ; Corboz, Les infractions en droit suisse, vol. I, 3e éd., 2010, n. 5 ad art. 133 CP). Lorsqu'une personne a une attitude purement passive, ne cherche qu'à se protéger et ne donne aucun coup, on ne peut soutenir qu'elle participe à la rixe (ATF 137 IV 1 c. 4.2.2).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 3e ; ATF 94 IV 105 ; ATF 70 IV 126). En revanche, quand une personne a une attitude active, mais purement défensive ou de séparation, c'est-à-dire distribue des coups, mais exclusivement pour se protéger, défendre autrui ou séparer les combattants, on a alors affaire à une rixe (ATF 131 IV 150 c. 2.1.2 ; ATF 94 IV 105). Dans ce sens, la jurisprudence a précisé que du moment où la loi accorde l'impunité à celui qui s'est borné à se défendre (art. 133 al. 2 CP), elle admet qu'il est aussi un participant au sens de l'art. 133 CP (TF 6B_405/2012 du 7 janvier 2013 c. 2.1.2). Enfin, peu importe que des coups déterminés ne puissent être imputés (CAPE 30 avril 2013/106).</w:t>
      </w:r>
    </w:p>
    <w:p>
      <w:r>
        <w:rPr>
          <w:b/>
        </w:rPr>
        <w:t>E. 3.2</w:t>
      </w:r>
    </w:p>
    <w:p>
      <w:r>
        <w:t>En raison du fait qu’après la bagarre les relations entre les protagonistes étaient restées tendues, certains ayant tenté des manoeuvres d’intimidation, d’autres paraissant avoir encore quelques craintes de représailles à la suite des dénonciations, et que les témoins entendus avaient soit l’air mal à l’aise et craintif, soit avaient pondéré leurs propos en tentant d’éviter la mise en cause de personnes identifiables, le premier juge a tenu comme davantage probantes les déclarations recueillies peu de temps après les faits et celles qui étaient corroborées par d’autres témoignages ou par d’autres éléments (jgt pp. 31-32). Ce faisant, en se référant aux mises en cause d’I.D.________,</w:t>
      </w:r>
    </w:p>
    <w:p>
      <w:r>
        <w:t>- 19 - J.D.________ et K.D.________, ainsi qu’aux propres déclarations de C.________, contradictoires, le magistrat a estimé que l’appelant, voyant la situation dégénérer, s’était rangé du côté de son équipe de sécurité et avait participé activement et de manière intentionnelle à la bagarre, en donnant des coups (jgt pp. 34-35). En l’espèce, il y a lieu de tenir compte des premières déclarations des protagonistes et témoins ainsi que de celles corroborées par d’autres éléments du dossier pour tous les motifs exposés par le premier juge. On ne saurait toutefois sur la base de ceux-ci retenir que C.________ s’est rendu coupable de rixe. On relèvera en premier lieu que l’appelant et I.D.________ se connaissaient au moment des faits, ce depuis 2005-2006. I.D.________ avait d’ailleurs travaillé sous les ordres de C.________. Dans cette mesure, il aurait d’emblée pu aisément l’identifier si celui-ci lui avait effectivement donné des coups lors de la bagarre et par conséquent l’incriminer dès le début de l’enquête. Or il ressort de sa première audition, le 1er novembre 2010, qu’I.D.________ a exposé avoir été frappé par des « agents de sécurité », sans toutefois mentionner le nom de l’appelant (PV aud. 1), avec lequel il avait au surplus parlé plus tôt dans la soirée puisque ce dernier avait tenté de ramener à la raison I.D.________ qui ne respectait pas l’interdiction de fumer à l’intérieur du bar (cf. rapport de police du 4 novembre 2010 p. 5 sous P. 7). Il a alors identifié A.________ et [...] précisant qu’il ne connaissait pas les noms des autres agents de sécurité, qu’il ne les avait jamais vus à Yverdon-les-Bains et qu’ils travailleraient à Lausanne (PV aud. 1 p. 2). Lors de son audition du 20 janvier 2011, I.D.________ a déclaré qu’il avait été pris à partie par quatre agents de sécurité qui l’avaient frappé ; il y en avait un équipé d’une batte de baseball, deux portant des barres de fer et le dernier, C.________, tenant un bâton télescopique. Il a encore précisé qu’il pourrait reconnaître ses agresseurs mais qu’au vu des menaces reçues il ne voulait incriminer personne formellement (PV aud. 7, p. 3). Lors de sa troisième audition, le 25 novembre 2011, il ne mentionne pas C.________ comme étant un agresseur, citant V.________ et A.________ ; il a seulement indiqué qu’il</w:t>
      </w:r>
    </w:p>
    <w:p>
      <w:r>
        <w:t>- 20 - connaissait C.________ et qu’il pensait que la « sécurité avait fait front commun » (PV aud. 13 p. 2 lignes 55-66). Aux débats de première instance, I.D.________ a exposé qu’il avait croisé le chef des agents de sécurité et que lors de la bagarre, celui-ci tenait un bâton télescopique avec lequel il lui avait asséné des coups (jgt, p. 15). Compte tenu du manque de constance de ses déclarations, ainsi que d’incohérences manifestes, notamment s’agissant du bâton métallique qu’aurait tenu et utilisé C.________ à son encontre, les propos d’I.D.________ ne peuvent fonder la participation de l’appelant à la bagarre. Il en va de même des déclarations faites par K.D.________, cousin d’I.D.________ à l’encontre de l’appelant. Entendu le 18 février 2011, K.D.________ a exposé qu’alors qu’il discutait avec A.________ pour savoir ce qui s’était passé, des agents de sécurité, soit un prénommé C.________, un « grisonnant », 40-45 ans, 175-180 cm, et un autre, « petit chauve », 30- 35 ans avec une barbichette, 170-175 cm, étaient sortis de l’établissement. Le grisonnant était retourné dans l’établissement et à sa sortie il était muni d’une batte de baseball en aluminium qu’il a sortie par la suite, avant que la bagarre n’éclate et qu’il ne donne plusieurs coups à I.D.________ (PV aud. 10 pp. 3 et 4). Dans son audition du 18 octobre 2012, K.D.________ a identifié le grisonnant sur une planche photo comme étant V.________ – et non C.________ – et le petit chauve M.________ (PV aud. 18). Aux débats de première instance, K.D.________ a déclaré avoir vu cinq personnes qui frappaient son cousin et que C.________ se trouvait autour d’I.D.________. C’était le chauve et le grisonnant qui étaient partis à l’attaque. Enfin, c’était quelqu’un ressemblant à C.________ qui avait un bâton télescopique (jgt, pp. 8-9). Outre le fait que, comme la Cour d’appel pénale a pu le constater de visu, C.________ n’est pas grisonnant, K.D.________ a désigné V.________ comme étant « le grisonnant ». De plus, ses déclarations s’agissant du prétendu bâton télescopique en main de C.________ et des coups qu’il aurait donné à I.D.________ apparaissent inconsistantes. Pour ce qui est des propos de J.D.________, frère d’I.D.________, l’intéressé a fait mention, le 18 février 2011, d’un « agent grisonnant</w:t>
      </w:r>
    </w:p>
    <w:p>
      <w:r>
        <w:t>- 21 - tenant la batte de baseball » qui était arrivé en courant et aurait donné des coups, puis l’aurait attaqué lui ; dans cette audition il ne cite en outre que le nom d’A.________ (PV aud. 11, p. 3). Lors de son audition du 18 octobre 2012, J.D.________ a parlé d’A.________ et de V.________, mais n’a pas mentionné C.________ (PV aud. 17). Aux débats de première instance, J.D.________ a indiqué qu’il pensait que C.________ avait participé à la mêlée (jgt, p. 18). Eu égard à ses différentes déclarations, lesquelles ne se rapportent pour l’essentiel pas directement à C.________, on ne saurait considérer qu’elles permettent de mettre en cause l’appelant pour avoir participé à la bagarre. Enfin, on ne saurait déduire des déclarations de l’appelant à l’audience de première instance que celui-ci avait la volonté d’en découdre, partant qu’il a donné des coups dans la bagarre. Il était en charge des agents de sécurité le soir en question ; le fait qu’il ait répondu soutenir et défendre son équipe si celle-ci est agressée n’implique pas qu’il a effectivement participé à la bagarre. Dès lors, au vu des éléments qui viennent d’être exposés, la version de l’appelant selon laquelle il s’était retrouvé au milieu d’une bagarre entre deux clans (kosovar et serbe), qu’il avait tenté de calmer le jeu et qu’il n’avait pas donné de coups est crédible, et c’est les versions des membres de la famille I.D.________ le concernant qui apparaissent douteuses, voire même résulter d’une certaine connivence. On relèvera encore que le comportement de C.________ ne concorde effectivement pas avec celui d’une personne qui veut en découdre par une bagarre, étant rappelé qu’il était rapidement retourné dans l’établissement demander à la gérante d’appeler la police. De plus, on ne discerne aucun mobile, l’appelant ayant déclaré ne pas s’être senti menacé ni visé par les insultes, malgré quelques bousculades, et n’appartenant à aucun des deux clans. Enfin, le fait que C.________ est un professionnel de la sécurité, avec vingt-quatre ans d’expérience, sans incidents, constitue un indice supplémentaire tendant à démontrer qu’il s’est comporté adéquatement le soir du 31 octobre 2010, à tout le moins qu’il n’a pas participé activement à la bagarre en donnant des coups.</w:t>
      </w:r>
    </w:p>
    <w:p>
      <w:r>
        <w:t>- 22 - Compte tenu des faits retenus ci-dessus, il existe un doute raisonnable concernant à la participation active de C.________ à la bagarre. Il convient donc de libérer l’appelant de l’infraction de rixe (art. 133 al. 1 CP) au bénéfice du doute. 4. La part des frais de première instance mise à la charge de l’appelant sera laissée à la charge de l’Etat dès lors que celui-ci a obtenu gain de cause (art. 423 et 428 al. 1, 1re phr. CPP). 5. L'appelant conclut à l’octroi d’une indemnité au sens de l'art. 429 CPP. 5.1 L’indemnisation des frais de défense est régie par l’art. 429 al. 1 let. a CPP, qui prévoit que le prévenu a droit à une indemnité pour les dépenses occasionnées par l’exercice raisonnable de ses droits de procédure s’il est acquitté totalement ou en partie. Selon le Message du Conseil fédéral, l’Etat ne prend en charge les frais de défense que si l’assistance d’un avocat était nécessaire compte tenu de la complexité de l’affaire en fait ou en droit et que le volume de travail, et donc, que les honoraires étaient ainsi justifiés.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(FF 2006 II 1313 ; TF 6B_392/2013 du 4 novembre 2013). En vertu de la jurisprudence du Tribunal fédéral, l’allocation d’une indemnité pour frais de défense selon l’art. 429 al. 1 let. a CPP n’est pas limitée aux cas de défense obligatoire visés à l’art. 130 CPP.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w:t>
      </w:r>
    </w:p>
    <w:p>
      <w:r>
        <w:t>- 23 - professionnelle du prévenu (ATF 138 IV 197 c. 2). Encore faut-il, toutefois, que la cause revête des difficultés en fait ou en droit qui nécessitent l’assistance d’un avocat (cf. notamment TF 6B_622/2013 du 6 février 2014 c. 3 ; Juge unique CAPE 23 mai 2014/166). L'indemnité visée par l'art. 429 al. 1 let. a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selon l'art. 429 al. 1 let. a CPP. Il sert de guide pour la détermination de ce qu'il faut entendre par frais de défense usuel (TF 6B_561/2014 du 11 septembre 2014 c. 2.2.1 ; TF 6B_392/2013 du 4 novembre 2013 c. 2.3). Tel est le cas dans le canton de Vaud depuis le 1er avril 2014 puisqu’il a été adopté 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5.2 En l’espèce, même si la cause n’était pas d'une complexité juridique particulière, l'assistance d'un avocat était nécessaire dans la mesure où elle revêtait une portée significative au vu de l’infraction en cause, notamment s’agissant de l’avenir de l’appelant, agent de sécurité, en ce sens qu’elle était susceptible d’avoir un impact sur sa vie professionnelle.</w:t>
      </w:r>
    </w:p>
    <w:p>
      <w:r>
        <w:t>- 24 - Le recourant a produit une note d’honoraires et de débours relatives aux opérations effectuées depuis le 15 mars 2013 et jusqu’au 5 août 2014 (P. 96), de laquelle il ressort que l’ensemble de la procédure aurait occasionné 20 heures et 42 minutes d’activité à son défenseur, sans compter l’audience du 12 août 2014, ainsi que 175 fr. pour les débours. Le temps allégué apparaît toutefois un peu excessif compte tenu des caractéristiques de la cause et il convient par conséquent de retenir un total de 20 heures d’activité déployée du 15 mars 2013 au 12 août 2014, audience d’appel comprise. S’agissant du tarif horaire déterminant, c’est à tort que l’appelant se prévaut d’un tarif de 350 fr./h dans une affaire telle que la présente espèce, dès lors qu’elle ne présentait aucune difficulté d’ordre juridique, posant au demeurant des questions essentiellement de faits. Dans de telles circonstances, le tarif horaire doit être fixé à 250 fr. (cf. art. 26a TFIP). C’est donc une indemnité de 5'589 fr., TVA et débours compris, qui doit être octroyée à l’appelant en application de l’art. 429 al. 1 let. a CPP (5'000 fr. + 175 fr. + 414 fr. [TVA]).</w:t>
      </w:r>
    </w:p>
    <w:p>
      <w:r>
        <w:rPr>
          <w:b/>
        </w:rPr>
        <w:t>E. 4</w:t>
      </w:r>
    </w:p>
    <w:p>
      <w:r>
        <w:t>Le 23 octobre 2011, vers 05h10, sur l’autoroute A1 entre Crissier et Neuchâtel, A.________ a circulé à vive allure au volant du véhicule automobile de marque [...], immatriculé [...], appartenant à son épouse, alors qu’il était sous l’influence de l’alcool (taux le plus favorable : 1,05 g ‰) et qu’il n’avait pas de permis de conduire valable en Suisse.</w:t>
      </w:r>
    </w:p>
    <w:p>
      <w:r>
        <w:t>- 14 - A.________ a été repéré par une patrouille de police banalisée à la hauteur d’Essert-Pittet. La patrouille a rattrapé le véhicule de marque [...] en question et l’a suivi sur une distance d’environ 2'000 mètres, à une vitesse variant entre 220 et 240 km/h selon le compteur du véhicule de police. Ce véhicule a alors enclenché les feux bleus dans le but d’identifier le conducteur. Ignorant les signes d’arrêts de la police et pour tenter de se soustraire aux contrôles, A.________ s’est engagé en direction de Neuchâtel à vive allure alors que la vitesse à cet endroit est limitée à 80 km/h. Au terme de la courbe de l’échangeur, il a poursuivi son allure à environ 220 km/h. Peu avant la jonction d’Yverdon Ouest, il a fait mine d’obtempérer aux injonctions de la police, a ralenti à une vitesse approximative de 60 km/h et s’est dirigé sur la voie de sortie de la jonction précitée. Il s’est toutefois réengagé sur l’autoroute à vive allure afin de distancer la police. Sur le tronçon Yverdon Ouest-Serrières, il a circulé à une vitesse variant entre 220 et 240 km/h. Arrivé au droit de l’entreprise Philip Morris, tronçon limité à 60 km/h, il a ralenti fortement puis accéléré à nouveau afin de poursuivre sa route en direction de Bienne. Parvenu dans le tunnel de Neuchâtel Ouest, il a pris la direction de La Chaux-de- Fonds. Dans une courbe à gauche, limitée à 40 km/h, A.________ a été surpris par la configuration des lieux et s’est déporté vers la droite. Rattrapé par la police qui arrivait à sa hauteur et malgré les signes d’arrêt, il a tenté à nouveau de repartir à vive allure. Son véhicule a toutefois été bloqué contre un mur par le véhicule de police, qui a été endommagé. L’appareil de mesure équipant le véhicule de police a enregistré les données suivantes, dont à déduire la marge de sécurité de 14 km/h : -entre 221 et 211 km/h, de la frontière vaudoise Vaumarcus, entrée du tunnel de St-Aubin, alors que le tronçon est limité à 120km/h ; -entre 211 et 210 km/h de l’entrée du tunnel de St-Aubin à la sortie du tunnel de Gorgier, alors que le tronçon est limité à 100 km/h ;</w:t>
      </w:r>
    </w:p>
    <w:p>
      <w:r>
        <w:t>- 15 - -entre 212 et 144 km/h de la sortie du tunnel de Gorgier à l’entrée du pont de Colombier, alors que le tronçon est limité à 120 km/h ; -entre 144 et 159 km/h du pont de Colombier à la sortie de la tranchée couverte d’Auvernier, alors que le tronçon est limité à 100km/h ; -à 159 km/h de la sortie de la tranchée d’Auvernier à l’entrée de la zone de travaux A5 à Serrières, alors que la vitesse est limitée à 80 km/h sur ce tronçon ; -entre 159 km/h et 51 km/h de la zone de travaux de Serrières à entrée de l’autoroute A5, alors que la vitesse est limitée à 60 km/h. Lors de la fouille du véhicule, il a été découvert une boulette de cocaïne. Les policiers ont également retrouvé des traces de sang visibles sur le siège conducteur ainsi que sur la console centrale : elles ont été prélevées, mais pas analysées. En d roit : 1. Interjetés dans les formes et délais légaux par des parties ayant qualité pour recourir contre le jugement du tribunal de première instance qui a clos la procédure (art. 398 al. 1 CPP), les appels de C.________ et d’A.________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- 16 -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 I. Appel de C.________ 3. Invoquant le principe in dubio pro reo, l’appelant conteste sa condamnation pour rixe. Il soutient en outre que c’est de manière arbitraire que le premier juge aurait écarté sa version des faits.</w:t>
      </w:r>
    </w:p>
    <w:p>
      <w:r>
        <w:rPr>
          <w:b/>
        </w:rPr>
        <w:t>E. 6</w:t>
      </w:r>
    </w:p>
    <w:p>
      <w:r>
        <w:t>En définitive, l’appel de C.________ doit être admis en ce sens qu’il est libéré du chef d’accusation de rixe, ce qui entraîne la modification des chiffres IX, X, XI et XX du jugement du 24 janvier 2014. II. Appel d’A.________</w:t>
      </w:r>
    </w:p>
    <w:p>
      <w:r>
        <w:rPr>
          <w:b/>
        </w:rPr>
        <w:t>E. 7</w:t>
      </w:r>
    </w:p>
    <w:p>
      <w:r>
        <w:t>L’appelant conteste sa condamnation pour rixe (art. 133 CP) et se prévaut du principe de la présomption d’innocence.</w:t>
      </w:r>
    </w:p>
    <w:p>
      <w:r>
        <w:rPr>
          <w:b/>
        </w:rPr>
        <w:t>E. 7.1</w:t>
      </w:r>
    </w:p>
    <w:p>
      <w:r>
        <w:t>Il fait valoir que si le premier juge avait voulu se fonder principalement sur les premières déclarations, il n’aurait pas pu retenir cette infraction à son encontre.</w:t>
      </w:r>
    </w:p>
    <w:p>
      <w:r>
        <w:t>- 25 - En l’espèce, le magistrat de première instance a considéré que l’appelant avait donné des coups et n’était pas simplement resté passif en tenant comme davantage probantes les déclarations recueillies peu de temps après les faits et celles qui étaient corroborées par d’autres témoignages ou par d’autres éléments au dossier. Il paraissait en effet peu vraisemblable qu’il ait assisté passif à une bagarre générale entre les autres membres de la sécurité et la famille D.________, tout en étant victime de coups et la cible d’un jet de marteau et d’injures. Il a ainsi retenu qu’A.________ avait, dans un premier temps, tenté de calmer la situation ; cependant l’élément qui avait déclenché sa révolte était le coup qu’il avait reçu dans le dos d’I.D.________ (jgt, pp. 31-32 et 33-34). Certes, comme le soutient l’appelant, il ressort du dossier que plusieurs protagonistes ou témoins ont dit qu’il avait d’abord essayé de calmer le jeu et de contenir ses collègues (cf. PV aud. 3 p. 2 ; PV aud. 10 p. 3 ; PV aud. 17 p. 2 lignes 36-37 ; PV aud. 18 p. 2 lignes 42-43). Toutefois ces personnes ont également déclaré qu’A.________ était ensuite intervenu activement dans la bagarre. A cet égard, l’appelant est tout d’abord mis en cause par I.D.________, qui l’a accusé de lui avoir donné des coups alors qu’il était à terre. On relèvera d’ailleurs que celui-ci a immédiatement fait mention d’A.________ à la police lors de sa première audition (PV aud. 1 p. 2). Par la suite, il a confirmé les coups portés par l’agent de sécurité (PV aud. 7 p. 3 et PV aud. 13 p. 2 lignes 57-58). Lors des débats, il a exposé qu’A.________ avait voulu lui donner un coup de pied à la tête lorsqu’il était à terre. Ensuite, l’appelant est également mis en cause par J.D.________ lequel a déclaré qu’il avait été attaqué par A.________ et que ce dernier avait donné des coups à I.D.________ (PV aud. 11 p. 3 et PV aud. 17 p. 1 lignes 39-41). Enfin, K.D.________ a indiqué que l’appelant avait donné des coups (PV aud. 10 p. 4 et PV aud. 18 p. 2 ligne 43), propos qu’il a quelque peu modéré aux débats en rapportant qu’il y avait cinq personnes qui frappaient I.D.________ et qu’A.________ était autour de celui-ci (jgt, p. 8). Ainsi, on doit considérer que la participation de l’appelant à la bagarre est établie par plusieurs déclarations constantes et concordantes à son sujet, qui ne font apparaître aucun doute raisonnable.</w:t>
      </w:r>
    </w:p>
    <w:p>
      <w:r>
        <w:t>- 26 - Dans cette mesure, le témoignage d’E.________, selon lequel l’appelant était calme et n’avait pas donné de coups, ne saurait être propre, à lui seul, à mettre hors d’état de cause l’appelant. Il n’est en effet pas suffisamment précis compte tenu des éléments susmentionnés pour le disculper, étant souligné qu’il s’agit de l’unique témoignage pouvant aller dans le sens de l’appelant. Au demeurant, on peut également s’étonner que l’intéressée, qui avait vu qu’A.________ ne donnait pas de coups, n’avait pas vu que quelqu’un lui avait jeté un marteau à viande (PV aud. 4 p. 3). En outre, le fait que l’appelant travaillait comme agent de sécurité et qu’il avait tenté – mais en vain – la conciliation afin d’éviter la bagarre ne constituent pas des indices permettant d’exclure en tout état de cause sa participation à la mêlée dès lors que l’intéressé a été la cible du jet de marteau à viande, a notamment reçu un coup dans le dos et a été injurié ; à l’instar du premier juge, on doit admettre qu’il n’est pas vraisemblable qu’il soit resté passif dans de telles circonstances. A ce titre, l’appelant est apparu en première instance comme une personne fière qui ne supportait pas qu’on remettre en cause sa parole. Au vu de ce qui précède, il y a lieu de retenir qu’A.________ a donné des coups lors de la bagarre.</w:t>
      </w:r>
    </w:p>
    <w:p>
      <w:r>
        <w:rPr>
          <w:b/>
        </w:rPr>
        <w:t>E. 7.2</w:t>
      </w:r>
    </w:p>
    <w:p>
      <w:r>
        <w:t>A titre subsidiaire, l’appelant invoque l’art. 133 al. 2 CP. En l’espèce, il ne ressort nullement du dossier que l’appelant aurait donné des coups pour se défendre ou qu’il aurait participé à la mêlée dans le but de séparer les protagonistes. A elle seule, cette allégation ne suffit pas pour retenir la version la plus favorable à l’accusé, puisqu’il faut rappeler qu’A.________ a porté son premier coup en réponse à celui qu’il avait reçu précédemment dans le dos. S’il a certes tenté d’apaiser les esprits au début du conflit, on ne saurait toutefois considérer que son comportement, par la suite, a consisté en une défense proportionnée au sens de l'art. 133 al. 2 CP, en particulier compte tenu du fait qu’il s’était rué sur I.D.________ et l’avait frappé, notamment à coups de poing et de pied (cf. supra, c. C 2).</w:t>
      </w:r>
    </w:p>
    <w:p>
      <w:r>
        <w:t>- 27 -</w:t>
      </w:r>
    </w:p>
    <w:p>
      <w:r>
        <w:rPr>
          <w:b/>
        </w:rPr>
        <w:t>E. 7.3</w:t>
      </w:r>
    </w:p>
    <w:p>
      <w:r>
        <w:t>Il s’ensuit que la condamnation d’A.________ pour rixe (art. 133 al. 1 CP) ne viole pas le droit fédéral et doit être confirmée.</w:t>
      </w:r>
    </w:p>
    <w:p>
      <w:r>
        <w:rPr>
          <w:b/>
        </w:rPr>
        <w:t>E. 8</w:t>
      </w:r>
    </w:p>
    <w:p>
      <w:r>
        <w:t>L’appelant conteste le genre de la peine infligée. Il estime que les conditions d’une peine pécuniaire (art. 34 CP) seraient réunies, de sorte qu’il n’y aurait pas lieu de prononcer une peine privative de liberté. Il soutient également que le pronostic n’est pas défavorable et qu’il devrait bénéficier du sursis, éventuellement du sursis partiel (art. 42 et 43 CP).</w:t>
      </w:r>
    </w:p>
    <w:p>
      <w:r>
        <w:rPr>
          <w:b/>
        </w:rPr>
        <w:t>E. 8.1.1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w:t>
      </w:r>
    </w:p>
    <w:p>
      <w:r>
        <w:t>- 28 -</w:t>
      </w:r>
    </w:p>
    <w:p>
      <w:r>
        <w:rPr>
          <w:b/>
        </w:rPr>
        <w:t>E. 8.1.2</w:t>
      </w:r>
    </w:p>
    <w:p>
      <w:r>
        <w:t>A titre de sanctions, le nouveau droit fait de la peine pécuniaire (art. 34 CP) et du travail d'intérêt général (art. 37 CP) la règle dans le domaine de la petite criminalité, respectivement de la peine pécuniaire et de la peine privative de liberté (art. 40 CP)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 TF 6B_546/2013 du 23 août 2013 c. 1.1). A ce titre, la peine pécuniaire peut notamment être exclue pour des motifs de prévention spéciale (TF 6B_196/2012 du 24 janvier 2013 c. 3.3 ; TF 6B_128/2011 du 14 juin 2011 c. 3.4).</w:t>
      </w:r>
    </w:p>
    <w:p>
      <w:r>
        <w:rPr>
          <w:b/>
        </w:rPr>
        <w:t>E. 8.1.3</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w:t>
      </w:r>
    </w:p>
    <w:p>
      <w:r>
        <w:t>- 29 - d’un an au moins et de trois ans au plus afin de tenir compte de façon appropriée de la faute de l’auteur.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ou hautement incertain (TF 6B88/2011 c. 2.1 ;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w:t>
      </w:r>
    </w:p>
    <w:p>
      <w:r>
        <w:rPr>
          <w:b/>
        </w:rPr>
        <w:t>E. 8.2</w:t>
      </w:r>
    </w:p>
    <w:p>
      <w:r>
        <w:t>En l’espèce, lors de la fixation de la peine pour sanctionner A.________, le premier juge a considéré que la culpabilité du prévenu était lourde. Outre la rixe pour laquelle l’intéressé rejetait la responsabilité de ce qui était arrivé sur les autres participants, les infractions à la LCR démontraient qu’il n’hésitait pas à mettre les autres usagers de la route en grand danger uniquement pour servir ses intérêts personnels à éviter un contrôle ; ses explications ne justifiaient en outre pas une conduite aussi dangereuse. Il fallait également tenir compte, à charge, du concours d’infractions, des antécédents pénaux faisant état d’une récidive spéciale dans le domaine de la circulation routière, et, à décharge, de sa situation familiale stable ainsi que du fait d’avoir tenté de calmer la situation au début de la rixe. Ces éléments sont pertinents. On relèvera également, à charge, que l’excès de vitesse, sa durée, le fait qu’A.________ a conduit sous l’emprise de l’alcool, sans permis, qu’il a roulé au mépris de la vie des autres usagers, que la police a dû prendre des risques énormes pour l’arrêter sont objectivement très graves. Son mobile concernant l’élément déclencheur de l’excès de vitesse, soit qu’il était prétendument blessé suite à une altercation à Crissier, ne contrebalance aucunement sa prise de risque démesurée. On soulignera à ce titre qu’aucune analyse du sang retrouvé n’a été effectuée, de sorte qu’il n’est pas établi qu’il s’agissait du sang de l’appelant. Il ne ressort du reste ni du rapport de police, ni des rapports médicaux ni même des propres déclarations de l’intéressé qu’il était blessé au moment de son arrestation (cf. dossier B, P. 1, 2, 5, 6 et 20). Il apparaît à l’évidence qu’il a voulu fuir la police, car rien ne justifiait qu’il n’obtempère pas aux injonctions de la patrouille, ce alors qu’il avait vu les gyrophares enclenchés sur le véhicule de police. De même, il ne saurait invoquer l’heure matinale ou le peu de circulation sur l’autoroute pour prétendre à une mise en danger amoindrie, ses excès de vitesse se montant à près du double de la vitesse autorisée sur les tronçons autoroutiers (cf. ATF 132 II 234 c. 3.1).</w:t>
      </w:r>
    </w:p>
    <w:p>
      <w:r>
        <w:t>- 31 - A décharge, les seuls éléments favorables sont effectivement le fait qu’au début de la rixe, l’appelant a tenté de calmer le jeu et que sa situation familiale est stable. On peut en plus constater que la rixe a eu lieu il y a près de quatre ans (fin octobre 2010) et les infractions à la LCR il y a trois ans (octobre 2011), et que l’appelant ne semble pas avoir récidivé depuis, ce qui, compte tenu de ses antécédents, révèle une légère amélioration. Il n’en demeure pas moins que sa culpabilité est très lourde. Par conséquent, la peine privative de liberté d’un an prononcée par le premier juge est adéquate. Il s’agit du seul genre de peine pouvant entrer en ligne de compte dans le présent cas, le prononcé d’une peine pécuniaire (art. 34 CP) étant exclu pour des motifs de prévention spéciale (cf. TF 6B_196/2012 du 24 janvier 2013 c. 3.3 ; TF 6B_128/2011 du 14 juin 2011 c. 3.4) ; en effet une telle peine ne saurait être suffisamment dissuasive dès lors que l’appelant a récidivé après avoir été condamné par le passé à des peines privatives de liberté, à un travail d’intérêt général et à une peine pécuniaire. Enfin, le sursis – y compris partiel – est exclu, le pronostic à poser quant au comportement futur de l’appelant étant défavorable. Le casier judiciaire d’A.________ comporte déjà cinq condamnations et il n’y a pas le moindre début de prise de conscience quant à l’illicéité et à la gravité de ses agissements. La peine infligée à l’appelant ne porte donc aucunement le flanc à la critique et elle doit dès lors être confirmée.</w:t>
      </w:r>
    </w:p>
    <w:p>
      <w:r>
        <w:rPr>
          <w:b/>
        </w:rPr>
        <w:t>E. 9</w:t>
      </w:r>
    </w:p>
    <w:p>
      <w:r>
        <w:t>Il résulte de ce précède que l’appel d’A.________ doit être rejeté et le jugement du 24 janvier 2014 confirmé.</w:t>
      </w:r>
    </w:p>
    <w:p>
      <w:r>
        <w:rPr>
          <w:b/>
        </w:rPr>
        <w:t>E. 10</w:t>
      </w:r>
    </w:p>
    <w:p>
      <w:r>
        <w:t>Vu l'issue de la cause, les frais d'appel, par 5'362 fr., doivent être mis par moitié à la charge d’A.________ (art. 428 al. 1 CPP), le solde étant laissé à la charge de l’Etat. Outre l'émolument, qui se monte à 3'040 fr. (art. 21 al. 1 et 2 TFIP [tarif des frais de procédure et indemnités en</w:t>
      </w:r>
    </w:p>
    <w:p>
      <w:r>
        <w:t>- 32 - matière pénale du 28 septembre 2010 ; RSV 312.03.1]), ces frais comprennent l’indemnité allouée au défenseur d’office d’A.________. Sur la base de la liste des opérations produite (cf. P. 95), une indemnité de défenseur d'office pour la procédure d'appel d'un montant de 2'322 fr., TVA et débours compris, est allouée à Me Isabelle Peruccio Sandoz. Enfin, A.________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