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PE10.026460 vom 9. Oktober 1983</w:t>
      </w:r>
    </w:p>
    <w:p>
      <w:r>
        <w:t>VD Tribunal cantonal, 1983-10-09, FR</w:t>
      </w:r>
    </w:p>
    <w:p>
      <w:r>
        <w:rPr>
          <w:b/>
        </w:rPr>
        <w:t xml:space="preserve">Quelle: </w:t>
      </w:r>
      <w:r>
        <w:t>https://mcp.opencaselaw.ch/entscheid/vd_gerichte_PE10.026460</w:t>
      </w:r>
    </w:p>
    <w:p>
      <w:r>
        <w:t>FR: VD_GERICHTE PE10.026460 du 9 octobre 1983</w:t>
      </w:r>
    </w:p>
    <w:p>
      <w:r>
        <w:t>IT: VD_GERICHTE PE10.026460 del 9 ottobre 1983</w:t>
      </w:r>
    </w:p>
    <w:p>
      <w:pPr>
        <w:pStyle w:val="Heading2"/>
      </w:pPr>
      <w:r>
        <w:t>Erwägungen</w:t>
      </w:r>
    </w:p>
    <w:p>
      <w:r>
        <w:rPr>
          <w:b/>
        </w:rPr>
        <w:t>E. 1.1</w:t>
      </w:r>
    </w:p>
    <w:p>
      <w:r>
        <w:t>Interjeté dans les formes et délai légaux par une partie ayant la qualité pour recourir contre un jugement d’un tribunal de première instance qui a clos la procédure (art. 398 al. 1 CPP, Code de procédure pénale suisse du 5 octobre 2007; RS 312.0), l'appel de H.________ suffisamment motivé au sens de l’art. 399 al. 3 et 4 CPP,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w:t>
      </w:r>
    </w:p>
    <w:p>
      <w:r>
        <w:t>- 11 - du pouvoir d'appréciation, le déni de justice et le retard injustifié, pour constatation incomplète des faits et pour inopportunité (al. 3).</w:t>
      </w:r>
    </w:p>
    <w:p>
      <w:r>
        <w:rPr>
          <w:b/>
        </w:rPr>
        <w:t>E. 2</w:t>
      </w:r>
    </w:p>
    <w:p>
      <w:r>
        <w:t>Dans un premier moyen, l'appelant reproche au tribunal de s'être livré à une appréciation erronée des faits en retenant qu'il avait pris l’initiative de l’agression et s’était montré particulièrement violent, ce qui aurait conduit à lui infliger une peine arbitrairement sévère.</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 Vianin, in Commentaire romand, Code de procédure pénale suisse, Bâle 2011, n. 19 ad art. 398 CPP).</w:t>
      </w:r>
    </w:p>
    <w:p>
      <w:r>
        <w:rPr>
          <w:b/>
        </w:rPr>
        <w:t>E. 2.2</w:t>
      </w:r>
    </w:p>
    <w:p>
      <w:r>
        <w:t>Le premier juge n'a pas fourni d’explications, de même qu’il ne s’est référé à aucun élément du dossier pour retenir que H.________ avait pris l’initiative de l’agression. Il faut toutefois replacer cette affirmation dans son contexte. Il résulte de l’enquête qu’avant l’agression du 30 octobre 2010, le même jour, vers 15 heures, le véhicule de [...] a failli heurter celui de H.________. L’appelant, accompagné de S.________ et A.Y.________, s’est ensuite rendu au poste de gendarmerie d’Aigle pour dénoncer le comportement routier dangereux de [...] (aud. 5 du 30 octobre 2010, p. 2). C’est après ces faits, aux environs de 15 h 45 que [...] a été violemment pris à partie par le prévenu et ses comparses alors qu’il était attablé à la terrasse d’un café à proximité de la gare d’Aigle (P. 18, rapport de la Police de sûreté du 8 décembre 2010, en page 10). Ces circonstances factuelles ne sont pas contestées par l’appelant (aud. 7 du 31 octobre 2010, p. 2). C’est donc bien ce premier incident qui a opposé [...] à H.________ qui est à l’origine de l’agression. C’est d’ailleurs l’appelant lui-même qui a indiqué au juge d’instruction avoir voulu une explication avec [...] et s’être approché de lui (aud. 11 du 1er novembre 2010, p. 1,</w:t>
      </w:r>
    </w:p>
    <w:p>
      <w:r>
        <w:t>- 12 - lignes 24 et 25). C’est dans ce sens que doit être comprise l’affirmation du premier juge selon laquelle c’est l’appelant qui a pris l’initiative de l’agression. Pour le surplus, le premier juge n’a pas considéré qu’une préméditation était établie (jugement p. 12), de sorte que l’affirmation contestée repose bien sur des circonstances factuelles qui ont été prises en compte de manière exacte dans le jugement attaqué. Il faut en définitive retenir que H.________, cédant à la colère provoquée par l’incident de circulation routière, a décidé d'agresser [...]. L’état de fait peut donc être précisé dans ce sens, sans qu’il en résulte l’admission du moyen fondé sur une constatation incomplète ou erronée des faits. L'appelant conteste en vain le fait qu'il se serait montré particulièrement violent avec [...]. En effet, cette violence ressort des propos qu'il a lui-même tenus en cours d'enquête, selon lesquels sa rage a éclaté et il ne pouvait plus se contrôler (aud. 7 du 31 octobre 2010, p. 3 bas de la page et p. 4). C'est encore en vain que l'appelant se fonde sur le témoignage de [...] pour contester avoir eu beaucoup de sang sur les mains, dès lors qu'il ne serait pas formellement établi qu'il serait l'agresseur "le plus balaise des quatre". En effet, ce témoin l'a formellement identifié (aud. 12 p. 2 in fine).</w:t>
      </w:r>
    </w:p>
    <w:p>
      <w:r>
        <w:rPr>
          <w:b/>
        </w:rPr>
        <w:t>E. 2.3</w:t>
      </w:r>
    </w:p>
    <w:p>
      <w:r>
        <w:t>Les griefs de l'appelant au sujet de l'établissement des faits en première instance doivent dès lors être rejetés.</w:t>
      </w:r>
    </w:p>
    <w:p>
      <w:r>
        <w:rPr>
          <w:b/>
        </w:rPr>
        <w:t>E. 3</w:t>
      </w:r>
    </w:p>
    <w:p>
      <w:r>
        <w:t>Dans un second moyen, l'appelant fait valoir que la peine apparaît arbitrairement sévère en raison d’une appréciation erronée de la faute et du refus de l’octroi du sursis. Pour les mêmes raisons, le précédent sursis ne devrait pas être révoqué.</w:t>
      </w:r>
    </w:p>
    <w:p>
      <w:r>
        <w:rPr>
          <w:b/>
        </w:rPr>
        <w:t>E. 3.1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w:t>
      </w:r>
    </w:p>
    <w:p>
      <w:r>
        <w:t>- 13 - pris en compte selon la jurisprudence relative à l’art. 63 aCP, à laquelle on peut se référer (ATF 134 IV 17 c. 2.1 p. 19; TF 6B_472/2007 du 27 octobre 2007 et les arrêts cités).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abuse de son pouvoir d’appréciation en fixant une peine exagérément sévère ou excessivement clémente (ATF 134 IV 17 c. 2.1 et les arrêts cités). L’octroi du sursis est subordonné à la condition subjective qu’une peine ferme ne paraisse pas nécessaire pour détourner l’auteur d’autres crimes ou délits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 7.2 pp. 73 s.).</w:t>
      </w:r>
    </w:p>
    <w:p>
      <w:r>
        <w:rPr>
          <w:b/>
        </w:rPr>
        <w:t>E. 3.2</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p. 143). Elle correspond donc à l’une des conditions de l’octroi du sursis, de sorte que,</w:t>
      </w:r>
    </w:p>
    <w:p>
      <w:r>
        <w:t>- 14 - comme dans ce dernier cas, le pronostic à émettre doit reposer sur une appréciation d’ensemble de tous les éléments pertinents (ATF 134 IV 140 c. 4.4 pp. 143 s. et les arrêts cités) 3.3.1 Dans la mesure où l’appelant se fonde sur l’admission de ses moyens préalables pour conclure à une réduction de peine, ses griefs ne peuvent qu’être rejetés. On a vu que le premier juge avait à juste titre retenu, pour fixer la peine, que l’appelant avait cédé à la colère provoquée par l’incident de circulation et s’était acharné de manière particulièrement brutale sur sa victime. On relèvera encore que le premier juge n’a pas ignoré le contexte émotionnel particulier résultant du fait que l’épouse de l’appelant avait été auparavant victime de [...], et l’a rappelé au moment de la fixation de la peine (jugement p. 15). Enfin, le choix d’une peine privative de liberté est motivé par des impératifs de prévention spéciale (TF du 14 juin 2011 6B_128/2011, c. 3.4) s'agissant d'un prévenu qui avait été condamné peu de temps auparavant pour des faits similaires remontant à 2008, et qui doit apprendre à gérer ses différends autrement que par la violence. 3.3.2 La durée de la peine (sept mois) n’apparaît pas exagérément sévère, compte tenu de l’ensemble des circonstances à charge et à décharge retenues par le premier juge. Elle sera donc confirmée. 3.3.3 Il reste à examiner si c'est à juste titre que le sursis a été refusé et que le sursis accordé à la peine infligée le 27 avril 2010 a été révoqué. En l’espèce, l’appelant a déjà été condamné pour rixe et lésions corporelles le 27 avril 2010 à une peine pécuniaire avec sursis pendant deux ans. Malgré cette condamnation, il a gravement récidivé (le 30 octobre 2010), soit dans le délai d’épreuve et dans le même domaine d’infractions, en faisant preuve d’une violence des plus inquiétantes. Il</w:t>
      </w:r>
    </w:p>
    <w:p>
      <w:r>
        <w:t>- 15 - s’agit là de lourds indices que seule une peine ferme sera de nature à le dissuader d’une nouvelle récidive et que le pronostic est par conséquent défavorable. En réalité, les points favorables avancés par l’appelant, comme sa bonne intégration professionnelle et la promesse faite à l’audience de déposer à l’avenir plainte contre [...] s’il devait subir de nouvelles provocations, ne sont pas suffisants pour contrebalancer le constat fait ci-dessus. La bonne intégration professionnelle n’est pas décisive, dans la mesure où la peine pourra vraisemblablement être exécutée en semi-détention (art. 77b CP). En conséquence, le refus du sursis doit également être confirmé, de même que la révocation du sursis.</w:t>
      </w:r>
    </w:p>
    <w:p>
      <w:r>
        <w:rPr>
          <w:b/>
        </w:rPr>
        <w:t>E. 4</w:t>
      </w:r>
    </w:p>
    <w:p>
      <w:r>
        <w:t>En définitive, l'appel doit être rejeté aux frais de son auteur. Une indemnité de 2'365 fr. 20 doit être allouée au défenseur d'office de H.________ pour la procédure d'appel.</w:t>
      </w:r>
    </w:p>
    <w:p>
      <w:r>
        <w:rPr>
          <w:b/>
        </w:rPr>
        <w:t>E. 5</w:t>
      </w:r>
    </w:p>
    <w:p>
      <w:r>
        <w:t>Il convient de modifier d'office le chiffre VI du dispositif du jugement attaqué pour préciser le montant de l'indemnité du défenseur d'office alloué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