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PE10.025952 vom 21. Mai 2013</w:t>
      </w:r>
    </w:p>
    <w:p>
      <w:r>
        <w:t>VD Tribunal cantonal, 2013-05-21, FR</w:t>
      </w:r>
    </w:p>
    <w:p>
      <w:r>
        <w:rPr>
          <w:b/>
        </w:rPr>
        <w:t xml:space="preserve">Quelle: </w:t>
      </w:r>
      <w:r>
        <w:t>https://mcp.opencaselaw.ch/entscheid/vd_gerichte_PE10.025952</w:t>
      </w:r>
    </w:p>
    <w:p>
      <w:r>
        <w:t>FR: VD_GERICHTE PE10.025952 du 21 mai 2013</w:t>
      </w:r>
    </w:p>
    <w:p>
      <w:r>
        <w:t>IT: VD_GERICHTE PE10.025952 del 21 maggio 2013</w:t>
      </w:r>
    </w:p>
    <w:p>
      <w:pPr>
        <w:pStyle w:val="Heading2"/>
      </w:pPr>
      <w:r>
        <w:t>Erwägungen</w:t>
      </w:r>
    </w:p>
    <w:p>
      <w:r>
        <w:rPr>
          <w:b/>
        </w:rPr>
        <w:t>E. 26</w:t>
      </w:r>
    </w:p>
    <w:p>
      <w:r>
        <w:t>octobre 2010 (P. 12). Ces épisodes dépassent largement ce qui est toléré par la jurisprudence s’agissant d'un éventuel droit de correction et on ne peut sérieusement soutenir que les coups infligés par l’intéressé entraient dans le cadre de la défense d’intérêts légitimes. C’est donc à raison que le premier juge a retenu que A.I.________ a excédé son devoir de correction. En outre, les éléments invoqués par A.I.________ à l’appui de son appel ne rendent pas l’acte licite. Même si les relations familiales ont été fortement mises à mal dès l’arrivée de C.I.________, en raison de son comportement violent, d’une attitude d’enfant tout puissant à l’égard de son père et d’un conflit de loyauté vis-à-vis de sa mère, et même si A.I.________ a totalement été dépassé par la situation, rien ne justifiait l’utilisation de tels moyens pour régler les conflits. Les difficultés rencontrées dans l’éducation de C.I.________ ne peuvent en aucun cas exculper A.I.________, d’autant plus que les faits réprimés ne se sont pas produits à une seule occasion, mais à deux reprises au moins. Partant, les moyens soulevés par A.I.________ doivent être rejetés. Les qualifications juridiques retenues n’étant au surplus pas contestées, la condamnation justifiée du prévenu pour lésions corporelles simples qualifiées et voies de faits qualifiées doit être confirmée.</w:t>
      </w:r>
    </w:p>
    <w:p>
      <w:r>
        <w:t>- 14 - 5. A.I.________ ne conteste ni le genre, ni la quotité de la peine. Il y a cependant lieu de statuer d'office sur ces points, dès lors qu’il a conclu principalement à son acquittement et subsidiairement à une exemption de toute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5.2 D’après l'art. 52 CP, si la culpabilité de l’auteur et les conséquences de son acte sont peu importantes, l’autorité compétente renonce à le poursuivre, à le renvoyer devant le juge ou à lui infliger une peine. Lorsque la décision d’exemption de peine est prise dans le cadre d’un jugement, cette décision prend la forme d’un verdict de culpabilité dépourvu de sanction (Dupuis et alii, Petit commentaire du</w:t>
      </w:r>
    </w:p>
    <w:p>
      <w:r>
        <w:t>- 15 - Code pénal, Bâle 2012, n. 7 ad art. 52 CP). Le Tribunal fédéral a eu l’occasion de préciser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 5.3 A.I.________ s'est rendu coupable de lésions corporelles simples qualifiées et de voies de faits qualifiées. Sa culpabilité est importante et pour cette seule raison, l’exemption de peine ne peut entrer en considération. La Cour retient que malgré le contexte particulier de cette affaire où père et fils ont dû cohabiter après des années de séparation et les difficultés familiales qui en ont découlé, le prévenu n’a pas hésité à utiliser la force à l’aide de coups de baguette pour exercer son droit de correction. Au regard de l’ensemble de ces éléments et de la situation financière de l’appelant, la peine pécuniaire de vingt jours-amende, à 60 fr. le jour-amende, est adéquate. L'octroi du sursis de deux ans doit également être confirmé. 6. C.I.________ demande une indemnité pour tort moral de 2'000 francs. 6.1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 être moral. Le principe d’une indemnisation du tort moral et l’ampleur de la réparation dépendent d’une manière décisive de la gravité de l’atteinte</w:t>
      </w:r>
    </w:p>
    <w:p>
      <w:r>
        <w:t>- 16 - et de la possibilité d’adoucir de façon sensible, par le versement d’une somme d’argent, la douleur physique ou morale (ATF 132 III 15 c. 2.2.2).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(TF 4A_489/2007 du 22 février 2008 c. 8.2 et les références citées). Statuant selon les règles du droit et de l’équité (art. 4 CC), le juge dispose d’un large pouvoir d’appréciation (ATF 132 II 117 c. 2.2.3). 6.2 En l'espèce, à l’instar du premier juge, la Cour considère que C.I.________ s’est plutôt mal comporté envers son père, sa belle-mère et les intervenants sociaux. Il l’a d’ailleurs admis par la suite dans un SMS du 6 octobre 2012 adressé à son père. De plus, les souffrances de cet adolescent, manifestes, reposent incontestablement sur d’autres causes que le problème lié à l’excès du droit de correction et le seul comportement, certes répréhensible, de A.I.________ n’implique pas dans le cas d’espèce l’allocation d’une indemnité pour tort moral à C.I.________, qui vit désormais au Nigeria. L’appel joint doit par conséquent être rejeté. 7. En définitive, l’appel formé par A.I.________ et l'appel joint interjeté par C.I.________ sont rejetés, le jugement rendu le 21 mai 2013 par le Tribunal de police de l’arrondissement de Lausanne étant confirmé.</w:t>
      </w:r>
    </w:p>
    <w:p>
      <w:r>
        <w:t>- 17 - Vu l'issue de la cause, les frais d'appel doivent être mis par deux tiers à la charge de A.I.________, le solde étant laissé à la charge de l'Etat (art. 428 al. 1 CPP). Outre l'émolument, qui se monte à 1’910 fr. (art. 21 al. 1 et 2 TFJP [Tarif des frais judiciaires pénaux du 28 septembre 2010; RSV 312.03.1]), ces frais comprennent l’indemnité allouée au défenseur de C.I.________. L'indemnité pour les frais de la procédure d'appel allouée au défenseur et curatrice de C.I.________, Me Julie André, sera fixée à 388 fr. 80,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