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PE10.025817 vom 22. Januar 2011</w:t>
      </w:r>
    </w:p>
    <w:p>
      <w:r>
        <w:t>VD Tribunal cantonal, 2011-01-22, FR</w:t>
      </w:r>
    </w:p>
    <w:p>
      <w:r>
        <w:rPr>
          <w:b/>
        </w:rPr>
        <w:t xml:space="preserve">Quelle: </w:t>
      </w:r>
      <w:r>
        <w:t>https://mcp.opencaselaw.ch/entscheid/vd_gerichte_PE10.025817</w:t>
      </w:r>
    </w:p>
    <w:p>
      <w:r>
        <w:t>FR: VD_GERICHTE PE10.025817 du 22 janvier 2011</w:t>
      </w:r>
    </w:p>
    <w:p>
      <w:r>
        <w:t>IT: VD_GERICHTE PE10.025817 del 22 gennaio 2011</w:t>
      </w:r>
    </w:p>
    <w:p>
      <w:pPr>
        <w:pStyle w:val="Heading2"/>
      </w:pPr>
      <w:r>
        <w:t>Volltext</w:t>
      </w:r>
    </w:p>
    <w:p>
      <w:r>
        <w:t>TRIBUNAL CANTONAL 149 PE10.025817-DBT CHAMBRE DE S RECO URS PEN ALE __________________________________________ Séance du 6 mai 2011 __________________ Présidence de M. KRIEGER, président Juges : M. Abrecht et Mme Byrde Greffière : Mme Mirus ***** Art. 221, 222, 227, 393 ss CPP Vu l'enquête n° PE10.025817-YBL instruite par le Ministère public de l'arrondissement de Lausanne contre P.________ notamment pour voies de fait, escroquerie, menaces, encouragement à la prostitution, dénonciation calomnieuse, induction de la justice en erreur, infraction à la loi fédérale sur les armes et contravention à la loi fédérale sur les stupéfiants, d'office et sur diverses plaintes, vu l'ordonnance du 22 janvier 2011, par laquelle le Tribunal des mesures de contrainte a ordonné la détention provisoire de P.________ et fixé sa durée maximale à trois mois, vu l'ordonnance du 15 février 2011, par laquelle le Tribunal des mesures de contrainte a refusé d'ordonner la libération de la détention provisoire de P.________, 351</w:t>
      </w:r>
    </w:p>
    <w:p>
      <w:r>
        <w:t>- 2 - vu la demande de prolongation de la détention provisoire adressée le 14 avril 2011 par le Ministère public de l'arrondissement de Lausanne au Tribunal des mesures de contrainte, vu l'ordonnance du 20 avril 2011, par laquelle le Tribunal des mesures de contrainte a ordonné la prolongation de la détention provisoire de P.________ pour une durée de trois mois et dit que les frais de la décision suivaient le sort de la cause, vu le recours interjeté en temps utile par P.________ contre cette décision, vu les pièces du dossier; attendu que la décision du Tribunal des mesures de contrainte ordonnant la prolongation de la détention provisoire peut faire l'objet d'un recours (art. 222, 227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notamment, entre le mois d'octobre 2010 et le début de l'année 2011, frappé à deux reprises son amie de l'époque qui était enceinte,</w:t>
      </w:r>
    </w:p>
    <w:p>
      <w:r>
        <w:t>- 3 - menacé à deux reprises des personnes au moyen d'une arme, amené des jeunes filles à vendre leurs charmes, consommé des stupéfiants, faussement dénoncé une personne de l'avoir menacé et sous-loué à sept reprises des appartements et perçu des loyers, alors qu'il n'en avait pas le droit, que compte tenu des déclarations du recourant (cf. PV aud. 18 et P. 61) et des mises en cause dont il est l'objet, il existe des présomptions de culpabilité suffisantes; attendu que la décision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le 30 avril 2008 pour contrainte, séquestration, vol, violation de domicile, contravention à la loi fédérale sur les stupéfiants et contravention à la loi fédérale sur les armes, à une peine privative de liberté de quatorze mois, dont huit mois avec sursis pendant quatre ans, que cette condamnation n'a suscité aucune prise de conscience, qu'en effet, le recourant persiste à commettre des infractions,</w:t>
      </w:r>
    </w:p>
    <w:p>
      <w:r>
        <w:t>- 4 - qu'il fait actuellement l'objet de quatre enquêtes pénales, dont deux qui ont déjà fait l'objet d'ordonnances de renvoi, rendues les 15 septembre et 15 novembre 2010, que le recourant a ainsi continué à commettre des infractions alors même qu'il était renvoyé en jugement devant un tribunal, que les faits qui lui sont reprochés sont graves, qu'il ne fait dès lors aucun doute que le pronostic est très défavorable, que le recourant soutient cependant que la naissance de sa fille a eu sur lui l'effet d'un électrochoc, lui permettant de prendre conscience de ses véritables priorités, qu'il convient toutefois de relever qu'il n'a pas hésité à frapper la mère de cet enfant, alors qu'elle était enceinte, qu'en outre, il ressort de son courrier du 16 avril 2011 qu'il n'a pas reconnu l'enfant et qu'il souhaite faire un test de paternité (P. 61), que dans ces circonstances, on peut sérieusement douter de la réelle prise de conscience de l'intéressé, qu'en outre, compte tenu des actes de violence perpétrés, une expertise psychiatrique a été ordonnée, qu'une telle mesure permettra d'évaluer la situation psychique de l'intéressé, notamment s'il présente un danger pour la sécurité d'autrui ou, à l'inverse, étayer sa thèse, qu'en l'état, au vu des éléments qui précèdent, il apparaît adéquat de prolonger la détention provisoire du recourant pour une durée de trois mois; attendu que compte tenu des charges retenues, le recourant encourt une peine privative de liberté relativement importante, dépassant la durée de la détention provisoire subie à ce jour, que la proportionnalité de la détention provisoire demeure ainsi respectée; attendu, en définitive, que le recours, mal fondé, doit être rejeté, que les frais de la procédure de recours, constitués en l'espèce de l'émolument d'arrêt, par 550 fr. (art. 20 al. 1 TFJP; RSV 312.03.1) et des frais imputables à la défense d'office (art. 422 al. 1 et 2 let. a CPP), fixés à</w:t>
      </w:r>
    </w:p>
    <w:p>
      <w:r>
        <w:t>- 5 - 360 fr., plus la TVA,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P.________. IV. Dit que l'émolument d'arrêt, par 550 fr. (cinq cent cinquante francs), ainsi que l'indemnité due à son défenseur d'office, par 388 fr. 80 (trois cent huitante-huit francs et huitante centimes), sont mis à la charge du recourant. V. Dit que le remboursement à l'Etat de l'indemnité allouée au chiffre III ci-dessus sera exigible pour autant que la situation économique de P.________ se soit améliorée. VI. Déclare le présent arrêt exécutoire. Le président : La greffière :</w:t>
      </w:r>
    </w:p>
    <w:p>
      <w:r>
        <w:t>- 6 - Du L'arrêt qui précède, dont la rédaction a été approuvée à huis clos, est notifié, par l'envoi d'une copie complète, à : - M. Franck-Olivier Karlen, avocat (pour P.________), - Ministère public central; et communiqué à : - Tribunal des mesures de contrainte, -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