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PE10.021389 vom 16. Dezember 2014</w:t>
      </w:r>
    </w:p>
    <w:p>
      <w:r>
        <w:t>VD Tribunal cantonal, 2014-12-16, FR</w:t>
      </w:r>
    </w:p>
    <w:p>
      <w:r>
        <w:rPr>
          <w:b/>
        </w:rPr>
        <w:t xml:space="preserve">Quelle: </w:t>
      </w:r>
      <w:r>
        <w:t>https://mcp.opencaselaw.ch/entscheid/vd_gerichte_PE10.021389</w:t>
      </w:r>
    </w:p>
    <w:p>
      <w:r>
        <w:t>FR: VD_GERICHTE PE10.021389 du 16 décembre 2014</w:t>
      </w:r>
    </w:p>
    <w:p>
      <w:r>
        <w:t>IT: VD_GERICHTE PE10.021389 del 16 dicembre 2014</w:t>
      </w:r>
    </w:p>
    <w:p>
      <w:pPr>
        <w:pStyle w:val="Heading2"/>
      </w:pPr>
      <w:r>
        <w:t>Erwägungen</w:t>
      </w:r>
    </w:p>
    <w:p>
      <w:r>
        <w:rPr>
          <w:b/>
        </w:rPr>
        <w:t>E. 4</w:t>
      </w:r>
    </w:p>
    <w:p>
      <w:r>
        <w:t>X.________ invoque une violation de l’art. 47 CP et estime que la peine qui lui a été infligée est trop sévère. Il se prévaut en particulier de sa prise de conscience, des excuses présentées, de son état au moment des faits et du fait que seule une tentative lui est reprochée.</w:t>
      </w:r>
    </w:p>
    <w:p>
      <w:r>
        <w:t>- 22 -</w:t>
      </w:r>
    </w:p>
    <w:p>
      <w:r>
        <w:rPr>
          <w:b/>
        </w:rPr>
        <w:t>E. 4.1</w:t>
      </w:r>
    </w:p>
    <w:p>
      <w:r>
        <w:t>Les art. 47 et 50 CP codifient la jurisprudence relative à la fixation et à la motivation de la peine rendue en application de l’art. 63 aCP, laquelle conserve ainsi sa valeur, de sorte qu’on peut s’y référer (cf. ATF 134 IV 17 c. 2.1 et les arrêts cités). Il suffit au reste de rappeler que, pour fixer la peine, le juge dispose d’un large pouvoir d’appréciation. Sa décision sur ce point ne viole le droit fédéral que s’il est sorti du cadre légal, s’il s’est fondé sur des critères étrangers à l’art. 47 CP, s’il a omis de prendre en considération des éléments prévus par celle disposition ou s’il a abusé de son pouvoir d’appréciation en fixant une peine exagérément sévère ou excessivement clémente (ATF 136 IV 55 c. 5.6 et l’arrêt cité). 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développés à l’arrêt publié aux ATF 136 IV 55. Partant de la gravité objective de l’acte, le juge doit apprécier la faute.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 6.1), il s’agit de diminuer la faute et non la peine; la réduction de la peine n’est que la conséquence de la faute plus légère (ATF 136 IV 55 c. 5.5). Le juge dispose également d’un large pouvoir d’appréciation lorsqu’il détermine l’effet de la diminution de la responsabilité sur la faute (subjective) au vu de l’ensemble des circonstances. II peut appliquer l’échelle habituelle : une faute (objective) très grave peut être réduite à une faute grave en raison d’une diminution légère de la responsabilité. La réduction pour une telle faute (objective) très grave peut conduire à</w:t>
      </w:r>
    </w:p>
    <w:p>
      <w:r>
        <w:t>- 23 -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c. 5.6). En bref, le juge doit procéder comme suit en cas de diminution de la responsabilité pénale: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ainsi qu’en raison d’une éventuelle tentative selon l’art. 22 al. 1 CP(ATF 136 IV 55 c. 5.7).</w:t>
      </w:r>
    </w:p>
    <w:p>
      <w:r>
        <w:rPr>
          <w:b/>
        </w:rPr>
        <w:t>E. 4.2</w:t>
      </w:r>
    </w:p>
    <w:p>
      <w:r>
        <w:t>La culpabilité de X.________ est lourde. En effet, l’appelant s’en est pris à un bien juridiquement protégé important, soit l’intégrité corporelle. S’agissant de la tentative de lésions corporelles simples qualifiées, on constate que seule la présence d’esprit, les réflexes et la bonne condition physique de la victime ont permis à cette dernière d’éviter d’être touchée ; ce n’est pas l’appelant qui a abandonné son attaque. La peine à infliger sanctionne le concours entre plusieurs infractions. En outre, le prévenu a récidivé en matière de stupéfiants. Il a des antécédents. Il consomme toujours de l’alcool et des benzodiazépines et la régularité de ses entretiens avec le personnel soignant laisse à désirer, même si on peut relever qu’il y a tout de même eu une amélioration depuis 2010. A décharge, l’appelant a reconnu l’intégralité des faits, il est dans une situation personnelle difficile, il a admis les conclusions civiles prises par T.________ et il a présenté des excuses, qui</w:t>
      </w:r>
    </w:p>
    <w:p>
      <w:r>
        <w:t>- 24 - semblent toutefois plus dictées par les circonstances que par une réelle prise de conscience. Sur la base de l’expertise, on doit admettre que la responsabilité de l’appelant était légèrement diminuée, de sorte que sa faute, initialement qualifiée de grave, doit en définitive être considérée comme moyenne à grave. Au regard de l’ensemble de ces éléments, la peine de 18 mois prononcée par l’autorité de première instance doit être confirmée. Les dix jours de détention provisoire subis par le prévenu seront déduits. Pour le surplus, à juste titre, l’appelant ne conteste pas la peine pécuniaire de 30 jours-amende à 30 fr. sanctionnant l’infraction d’injure (art. 177 CP), ni l’amende de 100 fr., dont la peine privative de liberté de substitution en cas de non paiement doit être arrêtée à 3 jours, sanctionnant la contravention. Ces sanctions sont adéquates et doivent être confirmées.</w:t>
      </w:r>
    </w:p>
    <w:p>
      <w:r>
        <w:rPr>
          <w:b/>
        </w:rPr>
        <w:t>E. 5</w:t>
      </w:r>
    </w:p>
    <w:p>
      <w:r>
        <w:t>X.________ requiert l’octroi d’un sursis complet. Il soutient avoir pris conscience de la gravité de son comportement, s’en être excusé, avoir admis l’intégralité des conclusions civiles de T.________, bénéficier d’une prise en charge thérapeutique sur une base volontaire et ne pas s’opposer à la règle de conduite qui lui a été imposée, ni même à la durée du délai d’épreuve.</w:t>
      </w:r>
    </w:p>
    <w:p>
      <w:r>
        <w:rPr>
          <w:b/>
        </w:rPr>
        <w:t>E. 5.1</w:t>
      </w:r>
    </w:p>
    <w:p>
      <w:r>
        <w:t>Lorsque la durée de la peine privative de liberté se situe, comme en l’espèce, entre un et deux ans, permettant donc le choix entre le sursis complet (art. 42 CP) et le sursis partiel (art. 43 CP), l’octroi du sursis au sens de l’art. 42 est la règle et le sursis partiel l’exception. Celui- 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 notamment en raison de</w:t>
      </w:r>
    </w:p>
    <w:p>
      <w:r>
        <w:t>- 25 -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 5.3.1). S’agissant du pronostic, le point de savoir si le sursis est de nature à détourner l’accusé de commettre de nouvelles infractions doit être tranché sûr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(voir art. 50 CP) ; sa motivation doit permettre de vérifier s’il a été tenu compte de tous les éléments pertinents et comment ils ont été appréciés (cf. ATF 134 IV 1 c. 4.2.1). Le juge dispose d’un large pouvoir d’appréciation en la matière (ATF 134 IV 1 c. 5.2. p. 9).</w:t>
      </w:r>
    </w:p>
    <w:p>
      <w:r>
        <w:rPr>
          <w:b/>
        </w:rPr>
        <w:t>E. 5.2</w:t>
      </w:r>
    </w:p>
    <w:p>
      <w:r>
        <w:t>Certes, l’appelant a admis les conclusions civiles de T.________, il bénéficie d’une prise en charge thérapeutique sur une base volontaire et il ne s’oppose pas à la règle de conduite qui lui a été imposée. Néanmoins, l’appelant ne démontre aucune prise de conscience réelle et ses excuses apparaissent largement dictées par les circonstances. Il est également apparu bien plus touché par les conséquences de ses actes sur sa propre existence que sur ses victimes. A l’audience d’appel, il a d’ailleurs indiqué qu’il ignorait si sa curatrice avait entrepris l’indemnisation de T.________. De plus, son casier judiciaire fait déjà état de deux inscriptions. Si le témoin [...], infirmier en psychiatrie qui suit X.________ depuis environ</w:t>
      </w:r>
    </w:p>
    <w:p>
      <w:r>
        <w:t>- 26 - quatre ans, a relevé qu’on pouvait maintenant envisager une prise en soins avec des objectifs, il a également indiqué que la régularité des entretiens avec X.________ laissaient un peu à désirer (jugement du 16 décembre 2014, p. 11). A l’audience d’appel, X.________ a indiqué être suivi par un médecin généraliste qu’il voit une fois par mois ; la régularité de l’appelant à ces consultations n’est toutefois probablement pas sans lien avec le fait que c’est ce médecin qui lui prescrit sa méthadone et ses anxiolytiques. Enfin, selon les experts, le risque de récidive est présent. Au regard de l’ensemble de ces éléments, le pronostic n’est pas clairement défavorable, mais il existe de sérieux doutes sur les perspectives d’amendement de X.________. Ce pronostic mitigé impose l’octroi d’un sursis partiel. La durée de la peine à exécuter ne saurait être inférieure à la moitié, pour qu’elle soit dissuasive. Pour le surplus, compte tenu des circonstances précitées, le délai d’épreuve assortissant l’autre moitié de la peine sera fixé au maximum légal, soit cinq ans. Enfin, pour des motifs de prévention, la règle de conduite assortissant ce délai d’épreuve – consistant en la poursuite du traitement ambulatoire contre les addictions entrepris –, qui a été fixée par les premiers juges et qui n’est pas contestée par l’appelant, apparaît nécessaire et adéquate et doit être confirmée.</w:t>
      </w:r>
    </w:p>
    <w:p>
      <w:r>
        <w:rPr>
          <w:b/>
        </w:rPr>
        <w:t>E. 6</w:t>
      </w:r>
    </w:p>
    <w:p>
      <w:r>
        <w:t>S’agissant de la révocation du sursis accordé à X.________ par le juge d’instruction de Lausanne le 23 février 2010, il y a lieu de constater d’office que celui-ci ne peut plus être révoqué aujourd’hui. En effet, selon l’art. 46 al. 1 CP, si, durant le délai d’épreuve, le condamné commet un crime ou un délit et qu’il y a dès lors lieu de prévoir qu’il commettra de nouvelles infractions, le juge révoque le sursis ou le sursis partiel. En vertu de l’al. 5, la révocation ne peut plus être ordonnée lorsque trois ans se sont écoulés depuis l’expiration du délai d’épreuve. Selon la jurisprudence, le point de départ du délai d’épreuve coïncide avec la communication du jugement exécutoire (cf. ATF 120 IV 172 c. 2a).</w:t>
      </w:r>
    </w:p>
    <w:p>
      <w:r>
        <w:t>- 27 - Dans le cas d’espèce, la décision du juge d’instruction de Lausanne du 23 février 2010 est, selon l’extrait du casier judiciaire, entrée en force le 15 mars 2010. La peine prononcée était assortie d’un délai d’épreuve de deux ans, lequel était ainsi échu au 15 mars 2012. Le délai supplémentaire de trois ans prévu à l’art. 46 al. 5 CP est quant à lui venu à échéance le 15 mars 2015. Le jugement de première instance a ainsi été rendu antérieurement à une date où la révocation du sursis n’était pas exclue par l’art. 46 al. 5 CP. En revanche, le présent jugement, qui se substitue à la décision attaquée (cf. art. 408 CPP), est postérieur à la date précitée. Il y a donc lieu de constater que le sursis accordé le 23 février 2010 ne peut plus être révoqué.</w:t>
      </w:r>
    </w:p>
    <w:p>
      <w:r>
        <w:rPr>
          <w:b/>
        </w:rPr>
        <w:t>E. 7</w:t>
      </w:r>
    </w:p>
    <w:p>
      <w:r>
        <w:t>X.________ conteste la répartition des frais de justice. Il fait valoir que le fait de considérer que son comportement n’était pas exempt de tout reproche civil et qu’il avait, en conséquence, provoqué fautivement l’ouverture de l’action pénale constitue une sorte de peine déguisée pour la partie des infractions dont il a été acquitté.</w:t>
      </w:r>
    </w:p>
    <w:p>
      <w:r>
        <w:rPr>
          <w:b/>
        </w:rPr>
        <w:t>E. 7.1</w:t>
      </w:r>
    </w:p>
    <w:p>
      <w:r>
        <w:t>Selon l'art. 426 al. 2 CPP, lorsque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RS 101) et 6 par.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w:t>
      </w:r>
    </w:p>
    <w:p>
      <w:r>
        <w:t>- 28 - une règle juridique, qui soit en relation de causalité avec les frais imputés, entre en ligne de compte (ATF 119 Ia 332 c. 1b ; ATF 116 Ia 162).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RS 220) (ATF 119 Ia 332 c. 1b ; ATF 116 Ia 162 c. 2c). Le fait reproché doit constituer une violation claire de la norme de comportement (ATF 119 Ia 332 c. 1b ; ATF 116 Ia 162 c. 2d). L'acte répréhensible n'a pas à être commis intentionnellement. La négligence suffit, sans qu'il soit besoin qu'elle soit grossière (ATF 109 Ia 160 c. 4a).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Ia 162 c. 2c).</w:t>
      </w:r>
    </w:p>
    <w:p>
      <w:r>
        <w:rPr>
          <w:b/>
        </w:rPr>
        <w:t>E. 7.2</w:t>
      </w:r>
    </w:p>
    <w:p>
      <w:r>
        <w:t>En l’espèce, X.________ a été libéré des faits dénoncés par L.________. Contrairement au premier juge, on ne voit pas quelle norme de comportement écrite ou non écrite aurait transgressé l’appelant. Le fait de se montrer insistant ne constitue en effet de toute évidence pas une faute civile. Le grief doit donc être admis. Sous déduction des frais de procédure liés aux opérations relatives aux infractions dénoncées par L.________, la partie des frais de première instance mis à la charge de X.________ sera arrêtée à 18'900 fr., ce montant comprenant la moitié de l’indemnité due à son défenseur d’office, Me Stéphane Ducret, le solde étant laissé à la charge de l’Etat.</w:t>
      </w:r>
    </w:p>
    <w:p>
      <w:r>
        <w:rPr>
          <w:b/>
        </w:rPr>
        <w:t>E. 8</w:t>
      </w:r>
    </w:p>
    <w:p>
      <w:r>
        <w:t>En définitive, l’appel de L.________ sera rejeté et l’appel de X.________ partiellement admis. Le jugement attaqué sera rectifié d’office</w:t>
      </w:r>
    </w:p>
    <w:p>
      <w:r>
        <w:t>- 29 - aux chiffres V et VI (cf. c. 6 supra) et modifié au chiffre X dans le sens des considérants (cf. c. 7 supra).</w:t>
      </w:r>
    </w:p>
    <w:p>
      <w:r>
        <w:rPr>
          <w:b/>
        </w:rPr>
        <w:t>E. 9</w:t>
      </w:r>
    </w:p>
    <w:p>
      <w:r>
        <w:t>Vu l’issue de la cause, l'émolument d'arrêt, par 2’710 fr. (art. art. 21 al. 1 et 2 TFIP [Tarif des frais de procédure et indemnités en matière pénale du 28 septembre 2010; RSV 312.03.1]), doit être mis par moitié à la charge de L.________, par un quart à la charge de X.________, le solde étant laissé à la charge de l’Etat (art. 423 al. 1 et 428 al. 1 CPP). Sur la base de la liste des opérations produite, une indemnité pour la procédure d'appel d'un montant de 1’838 fr. 60, TVA et débours inclus, sera allouée au conseil d’office de L.________ ; au vu du sort de l'appel de L.________, cette indemnité sera mise à la charge de l’appelante. L’indemnité d’office allouée au défenseur de X.________ doit être arrêtée à 2’268 fr. sur la base d’une durée d’activité utile de huit heures d’avocat et de six heures d’avocat stagiaire, TVA en plus. En effet, la durée d’activité de 11 heures d’avocat – ainsi que 5 heures d’avocat stagiaire, audience en sus – invoquée par le maître de stage est manifestement excessive s’agissant d’un dossier géré par la stagiaire, à l’exception de la rédaction du mémoire d’appel ; au vu du sort de l’appel de X.________, cette indemnité sera mise par un quart à la charge de l’appelant, le solde étant laissé à la charge de l’Etat. Les parties ne seront tenues de rembourser à l’Etat la part mise à leur charge du montant des indemnités en faveur de leur défenseur ou conseil d’office que lorsque leur situation financière le permettra.</w:t>
      </w:r>
    </w:p>
    <w:p>
      <w:r>
        <w:rPr>
          <w:b/>
        </w:rPr>
        <w:t>E. 10</w:t>
      </w:r>
    </w:p>
    <w:p>
      <w:r>
        <w:t>Le dispositif communiqué après l’audience d’appel est entaché d’une erreur manifeste en ce sens qu’il comporte deux chiffres III. En application de l’art. 83 CPP, le dispositif doit être rectifié d’office sur ce point, le second chiffre III étant renuméroté III bis et les chiffres V et VI étant adaptés en conséquence.</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