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PE10.021003 vom 21. September 2011</w:t>
      </w:r>
    </w:p>
    <w:p>
      <w:r>
        <w:t>VD Tribunal cantonal, 2011-09-21, FR</w:t>
      </w:r>
    </w:p>
    <w:p>
      <w:r>
        <w:rPr>
          <w:b/>
        </w:rPr>
        <w:t xml:space="preserve">Quelle: </w:t>
      </w:r>
      <w:r>
        <w:t>https://mcp.opencaselaw.ch/entscheid/vd_gerichte_PE10.021003</w:t>
      </w:r>
    </w:p>
    <w:p>
      <w:r>
        <w:t>FR: VD_GERICHTE PE10.021003 du 21 septembre 2011</w:t>
      </w:r>
    </w:p>
    <w:p>
      <w:r>
        <w:t>IT: VD_GERICHTE PE10.021003 del 21 settembre 2011</w:t>
      </w:r>
    </w:p>
    <w:p>
      <w:pPr>
        <w:pStyle w:val="Heading2"/>
      </w:pPr>
      <w:r>
        <w:t>Erwägungen</w:t>
      </w:r>
    </w:p>
    <w:p>
      <w:r>
        <w:rPr>
          <w:b/>
        </w:rPr>
        <w:t>E. 4</w:t>
      </w:r>
    </w:p>
    <w:p>
      <w:r>
        <w:t>Il n'en va en revanche pas de même quant à la période postérieure. Pour ce qui est des activités lucratives illégales exercées dès le 1er janvier 2008, donc réprimes par le seul art. 115 al. 1 let. c LEtr, la cour retient en fait que les aveux du prévenu établissent l'ampleur et la durée de ses actes. Il a en effet admis gagner sa vie par les activités incriminées, ce en se référant expressément au chiffre 1 de l'ordonnance pénale, ainsi qu'aux rapports de police établis notamment à la suite de son interrogatoire du mois d'août 2010. Il doit en être déduit qu'il ne disposait d'aucune source de revenu licite. Ces déclarations sont du reste confirmées par le syndicaliste [...], qui a précisé que la famille de l'intéressé était autonome et que le prévenu avait "toujours travaillé dans le domaine du bâtiment ou de l'agriculture (…)" (jugement, p. 3). Au regard du salaire indiqué par le prévenu, opposé à son loyer mensuel et aux autres charges irréductibles d'un ménage comportant deux adultes et deux enfants, il doit être tenu pour établi que l'intéressé a, du 1er janvier 2008 au 25 mai 2011, travaillé de manière récurrente, qui plus est pour un horaire significatif, pouvant atteindre 50 heures par semaine depuis la mi- août 2010 en tout cas. Même si des variations du taux d'occupation, voire certaines interruptions, ont pu découler du caractère saisonnier du travail agricole et viticole, on ne peut ainsi pour autant parler d'activités qui n'auraient été qu'intermittentes.</w:t>
      </w:r>
    </w:p>
    <w:p>
      <w:r>
        <w:t>- 16 -</w:t>
      </w:r>
    </w:p>
    <w:p>
      <w:r>
        <w:rPr>
          <w:b/>
        </w:rPr>
        <w:t>E. 5.1</w:t>
      </w:r>
    </w:p>
    <w:p>
      <w:r>
        <w:t>Bien que l'arrêt cantonal n'ait été annulé que sur un point, déjà mentionné, la peine à prononcer par suite du renvoi doit réprimer l'ensemble des infractions non prescrites faisant l'objet de la procédure.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ATF 129 IV 6 c. 6.1 p. 20; TF 6B_759/2011 du 19 avril 2012 c. 1.1; TF 6B_335/2012 du 13 août 2012 c. 1.1).</w:t>
      </w:r>
    </w:p>
    <w:p>
      <w:r>
        <w:rPr>
          <w:b/>
        </w:rPr>
        <w:t>E. 6</w:t>
      </w:r>
    </w:p>
    <w:p>
      <w:r>
        <w:t>Appréciant la culpabilité de l'auteur, la cour retient en droit qu'il a agi de manière récurrente sur une période prolongée. Les revenus obtenus des activités incriminées sont significatifs. Il ne dispose pas de revenus licites par ailleurs. Plus encore, il a expressément fait part aux enquêteurs de son dessein de poursuivre son séjour illicite en Suisse pour une durée indéterminée, avant de confirmer ces propos à l'audience de</w:t>
      </w:r>
    </w:p>
    <w:p>
      <w:r>
        <w:t>- 17 - première instance et à l'audience d'appel de ce jour en insistant sur la continuité de son comportement. Il ne peut qu'être déduit de ces propos que, loin de se limiter à vouloir demeurer en Suisse, il entend en outre poursuivre ses activités lucratives illicites tant qu'il séjournera dans notre pays. La situation lors de l'interrogatoire du 20 août 2010 doit ainsi être tenue pour invariable jusqu'au 25 mai 2011 à tout le moins. L'auteur a donc, sans discontinuer, agi dans le dessein de maintenir l'état de fait délictueux. A ceci s'ajoute qu'il a pris des dispositions délibérées pour se soustraire aux poursuites pénales et, partant, pour faire perdurer à son profit cet état de fait contraire au droit, dans la mesure où il a refusé de donner son adresse aux enquêteurs. Persistant dans la délinquance, l'auteur a donc pris la pleine mesure des faits qui lui sont reprochés. Il revendique même l'illicéité de son comportement, qu'il n'envisage pas d'interrompre, exprimant ainsi son mépris de l'ordre légal. A ceci s'ajoutent ses antécédents, tous constitués par des infractions à la législation sur les étrangers, qui ne l'ont pas dissuadé de perpétrer de nouveaux délits similaires sur une longue durée. Il y a ainsi récidive spéciale, outre le délit continu de séjour illicite perpétré sur une longue période. Ces éléments, de poids, doivent être retenus à charge. A décharge doit être pris en compte l'effet atténuant du changement législatif intervenu avec effet au 1er janvier 2008. En effet, une partie du délit continu s'est déroulée sous l'empire de l'art. 23 al. 1 LSEE dans sa teneur du 1er janvier au 31 décembre 2007, soit pendant une période où la sanction réprimant le séjour illégal était moins grave que sous le nouveau droit (TF 6B_196/2012, précité, c. 1 et 1.3 in fine). Doivent en outre être mentionnés la stabilisation de la situation sociale de l'intéressé, qui est soutenu par sa commune de résidence dans les démarches de régularisation, et l'écoulement du temps depuis 2011. L'ensemble de ces éléments témoigne d'une culpabilité considérable. C'est donc une peine privative de liberté de 60 jours, très partiellement complémentaire à celle prononcée le 10 novembre 2006 par le Juge d'instruction de Lausanne, qui doit réprimer les infractions ici en cause.</w:t>
      </w:r>
    </w:p>
    <w:p>
      <w:r>
        <w:t>- 18 -</w:t>
      </w:r>
    </w:p>
    <w:p>
      <w:r>
        <w:rPr>
          <w:b/>
        </w:rPr>
        <w:t>E. 7</w:t>
      </w:r>
    </w:p>
    <w:p>
      <w:r>
        <w:t>Vu l'issue de l'appel, l'appelant n'obtenant gain de cause que partiellement, les frais de la procédure d'appel doivent être mis à la charge de l'intimé à raison de la moitié, le solde étant laissé à celle de l’Etat (art. 428 al. 1, 1ère phrase, CPP). Outre l'émolument (art. 21 al. 1 et 2 TFJP), ces frais comprennent l'indemnité allouée au défenseur d’office du prévenu pour la procédure d’appel (cf. art. 135 al. 2 et 422 al. 2 let. a CPP; art. 2 al. 2 ch. 1 TFJP). Les frais de première instance doivent rester à la charge du prévenu. Les opérations utiles à prendre en compte sont celles qui ont été effectuées dans la procédure d'appel clôturée par le présent arrêt. Il s'agit ainsi tant de celles antérieures au premier arrêt que de celles afférentes à la reprise de cause, y compris l'audience d'appel (le premier arrêt ayant été rendu en procédure écrite), à l'exclusion donc de la procédure engagée devant la juridiction fédérale. Elles représentent dix heures d'activité à 180 fr. l'heure en sus de 100 fr. de débours. L'indemnité allouée au défenseur d’office du prévenu doit dès lors être arrêtée à 2'052 fr., débours et TVA compris. L'intimé ne sera tenu de rembourser à l’Etat la moitié du montant de l’indemnité en faveur de son conseil d’office prévue ci-dessus que lorsque sa situation financière le permettra (art. 135 al. 4 let. a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