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PE10.020265 vom 11. Februar 2016</w:t>
      </w:r>
    </w:p>
    <w:p>
      <w:r>
        <w:t>VD Tribunal cantonal, 2016-02-11, FR</w:t>
      </w:r>
    </w:p>
    <w:p>
      <w:r>
        <w:rPr>
          <w:b/>
        </w:rPr>
        <w:t xml:space="preserve">Quelle: </w:t>
      </w:r>
      <w:r>
        <w:t>https://mcp.opencaselaw.ch/entscheid/vd_gerichte_PE10.020265</w:t>
      </w:r>
    </w:p>
    <w:p>
      <w:r>
        <w:t>FR: VD_GERICHTE PE10.020265 du 11 février 2016</w:t>
      </w:r>
    </w:p>
    <w:p>
      <w:r>
        <w:t>IT: VD_GERICHTE PE10.020265 del 11 febbraio 2016</w:t>
      </w:r>
    </w:p>
    <w:p>
      <w:pPr>
        <w:pStyle w:val="Heading2"/>
      </w:pPr>
      <w:r>
        <w:t>Erwägungen</w:t>
      </w:r>
    </w:p>
    <w:p>
      <w:r>
        <w:rPr>
          <w:b/>
        </w:rPr>
        <w:t>E. 7</w:t>
      </w:r>
    </w:p>
    <w:p>
      <w:r>
        <w:t>Invoquant ensuite des violations du droit matériel, l’appelante estime d’abord que les prévenus doivent être reconnus coupables d’infractions diverses à la LCD.</w:t>
      </w:r>
    </w:p>
    <w:p>
      <w:r>
        <w:rPr>
          <w:b/>
        </w:rPr>
        <w:t>E. 7.1</w:t>
      </w:r>
    </w:p>
    <w:p>
      <w:r>
        <w:t>L'art. 23 LCD dispose que quiconque, intentionnellement, se rend coupable de concurrence déloyale au sens des art. 3, 4, 4a, 5 ou 6 est, sur plainte, puni d’une peine privative de liberté de trois ans au plus ou d’une peine pécuniaire (al. 1).</w:t>
      </w:r>
    </w:p>
    <w:p>
      <w:r>
        <w:t>- 25 -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w:t>
      </w:r>
    </w:p>
    <w:p>
      <w:r>
        <w:rPr>
          <w:b/>
        </w:rPr>
        <w:t>E. 7.2</w:t>
      </w:r>
    </w:p>
    <w:p>
      <w:r>
        <w:t>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ATF 126 III 198 consid. 2c/aa).</w:t>
      </w:r>
    </w:p>
    <w:p>
      <w:r>
        <w:rPr>
          <w:b/>
        </w:rPr>
        <w:t>E. 7.3</w:t>
      </w:r>
    </w:p>
    <w:p>
      <w:r>
        <w:t>L’appelante soutient d’abord que les prévenus auraient enfreint l’art. 5 let. a LCD.</w:t>
      </w:r>
    </w:p>
    <w:p>
      <w:r>
        <w:rPr>
          <w:b/>
        </w:rPr>
        <w:t>E. 7.3.1</w:t>
      </w:r>
    </w:p>
    <w:p>
      <w:r>
        <w:t>Selon cette disposition, dont la note marginale est « exploitation d’une prestation d’autrui », agit de façon déloyale celui qui, notamment,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6S.684/2001 consid. 1.b).</w:t>
      </w:r>
    </w:p>
    <w:p>
      <w:r>
        <w:t>- 26 -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En revanche, une simple idée - pour autant qu'elle ne soit pas protégée par un droit particulier - peut être exploitée par un tiers, même si elle est fixée par la suite (FF 1983 II 1037, 1103). Peuvent constituer le résultat d'un travail des esquisses, des études ou des concepts. Un certain effort intellectuel et/ou matériel doit avoir conduit au résultat obtenu. Le résultat du travail matérialisé peut porter aussi bien sur des informations commerciales que sur des prestations scientifiques ou intellectuelles, telles les découvertes (TF, 6B_672/2012; ATF 122 III 469 consid. 8b, SJ 1997 129; Message à l'appui d'une loi fédérale contre la concurrence déloyale, FF 1983 II, p. 1103; Perret, La protection des prestations, in : La nouvelle loi contre la concurrence déloyale, 1988, p. 45). Le résultat du travail doit avoir été "confié" directement par le lésé dans un but précis et exclusif. Selon le Tribunal fédéral, l'art. 5 let. a LCD exige seulement que le résultat du travail soit "confié", et ne requiert pas que ce résultat soit secret ou d'une originalité particulière (TF 4C.399/1999 consid. 2g).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majoritaire et plusieurs tribunaux cantonaux s'accordent à dire que le terme "confié" suppose que le résultat du travail revête un certain degré de confidentialité (Cherpillod, ibidem), en d’autres termes que le résultat d’un travail faisant l’objet de ce transfert ne doit pas être accessible ou connu de façon. Si ce résultat concerne le développement d’un produit, la confidentialité est en principe détruite par</w:t>
      </w:r>
    </w:p>
    <w:p>
      <w:r>
        <w:t>- 27 - la mise sur le marché du produit (Pedrazzini/Pedrazzini, Unlauterer Wettbewerb UWG, n° 9.09). Le résultat du travail doit ensuite être exploité "de manière indue", c'est-à-dire sans l'autorisation de son auteur. Le concurrent doit donc l'exploiter contrairement aux accords passés, le détourner de la destination convenue (TF 4C.399/1999 consid. 2b). L'exploitation d'une prestation d'autrui n'est pas punissable lorsque d'anciens collaborateurs continuent à utiliser le savoir résultant de l'expérience accumulée durant leur activité. Seule l'exploitation d'un produit concrètement élaboré est déloyale (sic! 2010 p. 803, consid. 3.1; sic! 6/2007 p. 458, consid. 2.2). Selon la jurisprudence, lorsque les parties ont développé un résultat au cours d'une relation juridique suivie, durant laquelle elles ont uni leurs efforts en vue de l'améliorer, ce résultat devient un bien commun, qui peut être utilisé par les deux parties après la fin de leur collaboration, sauf convention contraire et sous réserve de circonstances particulières (TF 4C.163/2000 consid. 3, in sic! 2001 p. 331). En l'absence du résultat d'un travail, le comportement consistant pour une personne à déposer un brevet à son nom portant sur un mécanisme développé dans le cadre d'une relation contractuelle avec un tiers pourrait tomber sous le coup de la clause générale de l'art. 2 LCD, au motif qu'il s'était créé un rapport de confiance entre les parties et que la loyauté obligeait l'intéressé à ne pas détourner les informations reçues de l'usage convenu (cf. TF 6B_672/2012 précité consid. 1.3). Il ne s’agit que d’un acte illicite au sens civil, pas au sens pénal, l’art. 23 LCD ne réprimant pas la violation de cette disposition.</w:t>
      </w:r>
    </w:p>
    <w:p>
      <w:r>
        <w:rPr>
          <w:b/>
        </w:rPr>
        <w:t>E. 7.3.2</w:t>
      </w:r>
    </w:p>
    <w:p>
      <w:r>
        <w:t>Le Tribunal de police a retenu que les prévenus avaient collecté des données auxquelles ils avaient accès dans le cadre de leur travail (jugement, pp. 43-46), de natures technique et commerciale (jugement, p. 46), que, n’étant pas liés par une clause de non-concurrence applicable au-delà de la fin des rapports de travail, ils étaient légitimés à mettre en commun leurs compétences techniques pour préparer leur futur, mais qu’au stade où en était le projet, ils n’avaient pas exploité</w:t>
      </w:r>
    </w:p>
    <w:p>
      <w:r>
        <w:t>- 28 - indûment le résultat d’un travail qui leur aurait été confié (p. 49-50), qu’aucune donnée confidentielle n’avait été utilisée dans le cadre de l’étude technique confiée à l’ENIM (jugement, p. 41), ni lors de la présentation faite le 17 juin 2010 par le prévenu D.________ à [...].</w:t>
      </w:r>
    </w:p>
    <w:p>
      <w:r>
        <w:rPr>
          <w:b/>
        </w:rPr>
        <w:t>E. 7.3.3</w:t>
      </w:r>
    </w:p>
    <w:p>
      <w:r>
        <w:t>L’appelante conteste cette appréciation. Elle fait valoir que, par l’utilisation de plans, calculs, études et concepts qu’elle avait réalisés et par l’usage d’un « know-how » de plusieurs années, dans le but de développer une machine semblable, si ce n’est identique, aux siennes, les prévenus ont exploité le résultat de son travail. Cette exploitation serait indue car ceux-ci étaient encore ses employés. L’appelante fait valoir que des plans, études et informations commerciales ont été retrouvés chez les prévenus. Il résulte de l’instruction que les prévenus, cherchant un avenir professionnel en dehors de P.________, n’en étaient qu’au stade des idées. L’une d’entre elles était de développer une plieuse-colleuse. Les prévenus étaient en quête d’un investisseur permettant de financer ce développement. Il n’est donc nullement établi qu’ils auraient concrètement exploité un travail technique réalisé par l’appelante, sachant que, pour la plupart ingénieurs, ils disposaient d’un savoir personnel scientifique personnel accumulé par l’expérience. Il ne résulte pas non plus de l’instruction que des données commerciales de l’appelante leur auraient été profitables. Peut-être les prévenus auraient- ils, dans l’avenir, utilisé les données rassemblées, mais tel n’est pas le cas à ce jour, faute de partenaire intéressé. C’est en vain que l’appelante soutient que le jugement retiendrait en pages 37 à 40 que le projet des prévenus en était déjà à un stade avancé : ces pages se limitent en effet à reproduire l’acte d’accusation. Le jugement retient au contraire que le travail des prévenus en était au stade de la réflexion sur la faisabilité de leur projet (p. 40). Les contacts avec des investisseurs potentiels ou avec l’ENIM, auxquels rien de détaillé n’a été soumis (jugement, pp. 42-43) ne permettent pas davantage de déduire un stade ultérieur d’avancement du projet.</w:t>
      </w:r>
    </w:p>
    <w:p>
      <w:r>
        <w:t>- 29 - Dans sa réplique, l’appelante invoque un jugement civil rendu dans une cause qui l’opposait à un autre de ses cadres, dont il ressort que les prévenus ont fait part à ce tiers de leur projet pour lui demander appui, voire financement. Elle y voit la preuve que le projet était bien plus avancé. En réalité, la recherche d’un financement avait pour but de développer techniquement une nouvelle machine encore inexistante hors des cerveaux des prévenus. Cet argument n’est pas convaincant. Au demeurant, ce jugement n’est pas opposable aux prévenus. L’appelante estime pouvoir exclure la possibilité que les prévenus aient disposé de connaissances techniques suffisantes pour développer une machine sans faire usage des données confiées par elle, parce que cela représenterait « plusieurs années de know-how ». Mais les prévenus, en 2010, travaillaient tous depuis longtemps au sein de P.________, à savoir quatre depuis 2001 environ, et même trois (L.________, H.________ et X.________) depuis 1990 environ déjà. L’appelante fait valoir que les prévenus n’avaient pas les connaissances commerciales pour établir un business plan et que seule l’utilisation de ses secrets commerciaux expliquait leur « prodigieuse efficacité ». Il est vrai que les prévenus sont pour l’essentiel des ingénieurs et non des vendeurs. Mais la préparation d’un business plan obéit pour partie à certaines règles générales accessibles à tous et dépend pour le reste du secteur concerné. L’appelante ne démontre pas que la présentation orale faite à [...] (P. 61) aurait contenu des éléments qui seraient le résultat de son travail original. L’appelante voit une infraction pénale dans le fait que les prévenus se sont regroupés pour leur projet, de façon à réunir les compétences et expériences nécessaires, qu’ils devaient à leur emploi auprès d’elle. Cette argumentation ne saurait être suivie. En effet, lorsqu'un employé envisage de se mettre à son compte ou de fonder avec d'autres une entreprise concurrente, il est en</w:t>
      </w:r>
    </w:p>
    <w:p>
      <w:r>
        <w:t>- 30 - soi légitime qu'il puisse entreprendre des préparatifs avant que le contrat de travail ne prenne fin. En particulier, l'art. 321a al. 4 CO ne lui interdit pas de contacter la clientèle de l'ex-employeur et de leur proposer ses propres services, fussent-ils concurrentiels (ATF 138 III 67 consid. 2.3.5, JT 2012 II 207 et 287, SJ 2012 I 297; ATF 117 II 72 consid. 4, JT 1992 I 569; JAR 2012 p. 461 consid. 5.2). Constitue en revanche une violation grave du devoir de fidélité du travailleur le fait de concurrencer son employeur, et de débaucher ou de tenter de débaucher, pendente contractu, la clientèle de l'employeur (JAR 2012 p. 461 consid. 5.2.1). Si un employé a le droit de partir et d’utiliser ses compétences et son expérience pour faire ensuite concurrence (à défaut de clause de non-concurrence dans les contrats de travail), et si sept employés ont chacun le même droit, on ne voit pas pourquoi il faudrait leur interdire ensuite de s’associer. L’appelante tire argument du fait que les intimés étaient toujours tenus envers elle par contrat de travail au moment de la création de leur société. Il n’empêche que, de l’instruction, il est résulté que les prévenus se cherchaient un avenir en dehors de P.________ et n’avaient pas l’intention de lui faire concurrence parallèlement à leur emploi. Le soupçon de débauchage illicite au sens de l’art. 4 LCD n’a pas été confirmé non plus, s’agissant d’un projet commun. L’appelante estime que l’absence d’une clause de non- concurrence de dispenserait pas l’employé de l’obligation de se limiter à une concurrence loyale après la fin des rapports de travail, ce qui va de soi. On ne saurait en revanche pas la suivre lorsqu’elle soutient que les prévenus n’auraient pas le droit d’exploiter l’expérience de leur employeur ou celle qu’ils – ou leur collègues – avaient pu acquérir au cours de leur travail. Seule l’exploitation d’un résultat « incorporé » dans un support matériel est punissable, qui n’est pas établie ici. L’appelante, au moment d’examiner les règles de la LCD, n’évoque plus la question du « serveur » installé par H.________, alors même que, comme on l’a vu plus haut, elle reproche aux prévenus d’avoir</w:t>
      </w:r>
    </w:p>
    <w:p>
      <w:r>
        <w:t>- 31 - « sorti » de l’entreprise des données confidentielles. En soi, en effet, ce comportement ne tombe pas sous le coup d’une disposition pénale.</w:t>
      </w:r>
    </w:p>
    <w:p>
      <w:r>
        <w:rPr>
          <w:b/>
        </w:rPr>
        <w:t>E. 8</w:t>
      </w:r>
    </w:p>
    <w:p>
      <w:r>
        <w:t>L’appelante soutient que les prévenus auraient enfreint l’art. 5 let. b LCD.</w:t>
      </w:r>
    </w:p>
    <w:p>
      <w:r>
        <w:rPr>
          <w:b/>
        </w:rPr>
        <w:t>E. 8.1</w:t>
      </w:r>
    </w:p>
    <w:p>
      <w:r>
        <w:t>Selon cette disposition, agit de façon déloyale celui qui, notamment, exploite le résultat du travail d'un tiers, par exemple des offres, des calculs ou des plans, bien qu'il sache que ce résultat lui a été remis ou rendu accessible de façon indue. L'exploitation est indue lorsque le résultat du travail est repris ou exploité sans l'accord de la personne qui l'a confié. L'interdiction d'exploiter peut résulter du contrat ou d'un droit spécial (Sonderrecht) de l'auteur du travail, fondé sur une loi spéciale (Pedrazzini et Pedrazzini, Unlauterer Wettbewerb, 2e éd., n. 9.11). Dans le cas de l’art. 5 let. b LCD, le résultat du travail d’un tiers n’a pas été remis à une personne à titre d’offre. Celui qui est en possession des calculs, des plans, du travail réalisé, les a obtenus « d’une manière ou d’une autre ». Il n’a pas le droit de les exploiter, en principe, car l’auteur du travail n’a pas donné son autorisation (Frick, in : Hilty/Arpagaus [éd.], Basler Kommentar, Bundesgesetz gegen den unlauteren Wettbewerb [UWG], Bâle 2013, nn. 58-59 ad art. 5 LCD, pp. 535-536).</w:t>
      </w:r>
    </w:p>
    <w:p>
      <w:r>
        <w:rPr>
          <w:b/>
        </w:rPr>
        <w:t>E. 8.2</w:t>
      </w:r>
    </w:p>
    <w:p>
      <w:r>
        <w:t>Le Tribunal de police n’a pas expressément considéré que les éléments constitutifs de l’infraction réprimée par l’art. 5 let. b LCD n’étaient pas réunis en droit, mais s’est limité à relever, en fait, qu’il ne voyait pas quel résultat de travail aurait été « remis indûment par un tiers » aux prévenus qui l’auraient exploité (jugement, p. 51).</w:t>
      </w:r>
    </w:p>
    <w:p>
      <w:r>
        <w:rPr>
          <w:b/>
        </w:rPr>
        <w:t>E. 8.3</w:t>
      </w:r>
    </w:p>
    <w:p>
      <w:r>
        <w:t>L’appelante reprend les mêmes griefs que précédemment, en faisant la distinction suivante : les prévenus qui auraient eu accès à des données dans le cadre de leur travail tomberaient sous le coup de la lettre a de l’art. 5 LCD; ceux qui n’y auraient pas eu accès et auraient obtenu les</w:t>
      </w:r>
    </w:p>
    <w:p>
      <w:r>
        <w:t>- 32 - données illicitement par le biais de leurs co-prévenus tomberaient sous le coup de la lettre b de cette disposition. Comme vu plus haut, il n’est pas établi en fait qu’un résultat du travail de l’appelante aurait été exploité par les prévenus, de sorte que cette disposition n’est pas applicable.</w:t>
      </w:r>
    </w:p>
    <w:p>
      <w:r>
        <w:rPr>
          <w:b/>
        </w:rPr>
        <w:t>E. 9</w:t>
      </w:r>
    </w:p>
    <w:p>
      <w:r>
        <w:t>L’appelante soutient que les prévenus auraient enfreint l’art. 6 LCD.</w:t>
      </w:r>
    </w:p>
    <w:p>
      <w:r>
        <w:rPr>
          <w:b/>
        </w:rPr>
        <w:t>E. 9.1</w:t>
      </w:r>
    </w:p>
    <w:p>
      <w:r>
        <w:t>Selon cette disposition, agit de façon déloyale celui qui, notamment, exploite ou divulgue des secrets de fabrication ou d'affaires qu'il a surpris ou dont il a eu indûment connaissance d'une autre manière.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et à la production (TF, 6B_496/2007; ATF 109 Ib 47 consid. 5c; ATF 103 IV 284 consid. 2 b). Conformément à son texte, l'art. 6 LCD, qui parle de "surprendre un secret" exige un comportement actif de l'auteur (plus clairement encore, les textes allemand et italien: auskundschaften : explorer, reconnaître, repérer, voire espionner; spiare : espionner, épier). L'application de cette disposition est exclue lorsque l'accès aux informations est intervenu de manière licite dans le cadre de relations contractuelles antérieures (ATF 133 III 431 consid. 4.5; cf, en relation avec les anciennes dispositions de la loi du 30 septembre 1943 sur la concurrence déloyale [aLCD] : Weniger, La protection des secrets économiques et du savoir-faire [know-how], thèse, Lausanne 1994, pp. 111 et 222). Lorsque l'accès aux informations est licite, seule une sanction civile fondée sur la clause générale (art. 2 LCD auquel ne renvoie pas l'art. 23 LCD) peut donc entrer en considération, l'application de l'art. 162 CP</w:t>
      </w:r>
    </w:p>
    <w:p>
      <w:r>
        <w:t>- 33 - (violation du secret de fabrication ou du secret commercial) étant par ailleurs exclue lorsque la personne tenue au secret utilise les informations à son propre profit (TF, 6P.137/2006; ATF 109 Ib 47, consid. 5c).</w:t>
      </w:r>
    </w:p>
    <w:p>
      <w:r>
        <w:rPr>
          <w:b/>
        </w:rPr>
        <w:t>E. 9.2</w:t>
      </w:r>
    </w:p>
    <w:p>
      <w:r>
        <w:t>Le Tribunal de police a retenu que les prévenus n’avaient « surpris » ou eu « indûment » connaissance d’aucun secret, que les éléments qu’ils avaient communiqués à [...] et à l’ENIM ne contenaient pas de secret de fabrication ou d’affaires, qu’ils n’avaient exploité que leur savoir, qu’il n’était en tout cas pas établi qu’ils auraient – qui plus est sciemment – exploité des secrets de la plaignante (jugement, p. 53).</w:t>
      </w:r>
    </w:p>
    <w:p>
      <w:r>
        <w:rPr>
          <w:b/>
        </w:rPr>
        <w:t>E. 9.3</w:t>
      </w:r>
    </w:p>
    <w:p>
      <w:r>
        <w:t>L’appelante reproche au premier juge de n’avoir examiné cette disposition que sous l’angle des « rapports externes » des prévenus avaient les tiers. Il aurait, selon elle, fallu examiner aussi la question des rapports internes entre prévenus. La communication de données sensibles serait prohibée par les obligations de confidentialité liant les intéressés à leur employeur d’alors. A suivre l’argumentation de l’appelante, seuls les prévenus qui n’auraient pas eu accès aux données litigieuses dans le cadre de leur emploi, mais seulement par le biais « illicite » de leurs collègues, pourraient tomber sous le coup de cette disposition, et non ceux qui auraient eu accès à ces données dans le cadre de leur travail mais l’auraient partagé de façon « illicite ». Quoi qu’il en soit, aucune utilisation du résultat d’un travail n’est établie; a fortiori en va-t-il de même d’un hypothétique « secret ». On ignore en effet quel secret de fabrication ou d’affaires de l’appelante aurait été exploité ou divulgué. L’appelante voit cependant un indice qu’un secret a été révélé à un tiers dans le fait que [...] l’avait avertie de la démarche des prévenus, qui l’aurait choquée. On ne peut suivre ce raisonnement. On ignore en effet ce que son ancienne concurrente avait indiqué à l’appelante. La plainte pénale (P. 4) n’évoque dans les faits qu’elle décrit aucune</w:t>
      </w:r>
    </w:p>
    <w:p>
      <w:r>
        <w:t>- 34 - divulgation d’un secret particulier, mais se limite à mentionner la présentation d’un business plan pour une plieuse-colleuse. Au vrai, cet aspect de l’argumentation de l’appelante tend à critiquer la concurrence elle-même. On peut supposer que les acteurs du marché voient généralement d’un mauvais œil toute nouvelle concurrence et que les organes de [...] ont simplement pu être choqués par le fait que leur interlocuteur était employé de l’appelante. Dans sa réplique, l’appelante relève que la divulgation d’un secret n’est pas exclue et que sieur [...] n’a pas été interrogé sur ce point. Peut-être; il n’en demeure pas moins qu’il appartenait à l’accusation d’apporter la preuve de la culpabilité des prévenus. Cette preuve n’a pas été fournie.</w:t>
      </w:r>
    </w:p>
    <w:p>
      <w:r>
        <w:rPr>
          <w:b/>
        </w:rPr>
        <w:t>E. 10</w:t>
      </w:r>
    </w:p>
    <w:p>
      <w:r>
        <w:t>L’appelante soutient que les prévenus auraient violé l’art. 162 CP.</w:t>
      </w:r>
    </w:p>
    <w:p>
      <w:r>
        <w:rPr>
          <w:b/>
        </w:rPr>
        <w:t>E. 10.1</w:t>
      </w:r>
    </w:p>
    <w:p>
      <w:r>
        <w:t>Sous la note marginale « Violation du secret de fabrication ou du secret commercial », cette disposition s’applique à celui qui aura révélé un secret de fabrication ou un secret commercial qu'il était tenu de garder en vertu d'une obligation légale ou contractuelle. Il ressort de divers avis de doctrine (Niggli/Hagenstein, in : Niggli/ Wiprächtiger [éd.], Basler Kommentar, Strafrecht II, Art. 111-392 StGB, 3e éd., Bâle 2013, nn. 25 ss ad art. 162 CP; Dupuis/Geller/Monnier/Moreillon/Piguet/Bettex/Stoll [éd.], Petit commentaire CP, Bâle 2012, nn. 10 ss ad art. 162 CP) que le comportement punissable au sens de l’art. 162 CP comporte deux variantes, soit la révélation du secret (al. 1, Verrat) et l’utilisation de cette révélation par le tiers à qui le secret a été révélé (al. 2, Ausnützung des Verrats). Il faut donc, dans les deux cas, que le secret ait été divulgué à un tiers. A l’opposé, la personne qui, au courant d'informations qu'elle est tenue de garder secrètes, les utilise à son profit sans les révéler à un tiers, ne peut se rendre coupable de violation d'un secret commercial, car il n'y</w:t>
      </w:r>
    </w:p>
    <w:p>
      <w:r>
        <w:t>- 35 - a alors ni révélation, ni mise à profit d'une révélation (ATF 109 Ib 47 consid. 5c p. 57, concernant les opérations financières dites d’initiés).</w:t>
      </w:r>
    </w:p>
    <w:p>
      <w:r>
        <w:rPr>
          <w:b/>
        </w:rPr>
        <w:t>E. 10.2</w:t>
      </w:r>
    </w:p>
    <w:p>
      <w:r>
        <w:t>Le premier juge a considéré que les prévenus ne s’étaient pas vu indiquer clairement quels renseignements obtenus dans le cadre de leur travail ils n’avaient pas le droit de se communiquer entre eux, et qu’ils n’avaient ainsi pas intentionnellement violé leur devoir de confidentialité. S’agissant des renseignements communiqués à des tiers, il a rappelé que rien de ce qui avait été dit ne constituait un secret.</w:t>
      </w:r>
    </w:p>
    <w:p>
      <w:r>
        <w:rPr>
          <w:b/>
        </w:rPr>
        <w:t>E. 10.3</w:t>
      </w:r>
    </w:p>
    <w:p>
      <w:r>
        <w:t>L’appelante fait valoir que les chiffres concernant les prix et les parts de marché communiqués à [...] constituaient des secrets. Il a déjà été statué sur ce moyen au considérant 6. ci-dessus. De même, selon l’appelante, les données concernant des clients transmises par X.________ à H.________ seraient secrètes; ce prévenu-là aurait dû savoir que celui-ci, technicien, n’avait pas accès à ces éléments. Ce grief fait abstraction de ce que X.________ était lui-même employé comme ingénieur de développement et était donc un cadre technique de l’entreprise. S’il a pu accéder à ces données, on ne voit pas pourquoi H.________, qui œuvrait dans le bureau de développement, ne l’aurait pas pu, de surcroît au sein d’une entreprise qui, comme on l’a vu, ne limitait guère la circulation de l’information à l’interne. Dans le même ordre d’idée, parmi ses griefs relatifs à la constatation prétendument erronée des faits, l’appelante fait valoir que D.________ n’avait aucune raison de communiquer aux autres prévenus, comme il l’avait fait dans un courriel, des renseignements relatifs à des clients. Pourtant, comme les autres prévenus, D.________ est un ingénieur, pas un commercial. Ici encore, s’il a eu accès à ces données, on ne voit pas pourquoi les autres ne l’auraient pas pu. L’appelante soutient que le jugement retiendrait que X.________ savait qu’il transmettait des données secrètes à H.________. C’est le contraire que retient le jugement, selon lequel le caractère secret</w:t>
      </w:r>
    </w:p>
    <w:p>
      <w:r>
        <w:t>- 36 - de ces renseignements n’était pas établi, et, le fût-il, il n’était pas prouvé que le prévenu le sût, tant les règles de transmission à l’interne n’étaient pas claires (jugement, pp. 56-57). Enfin, l’appelante voit une infraction pénale dans le fait que les prévenus auraient obtenu, puis partagé entre eux, des informations auprès d’autres employés. Là encore, si ces employés leur ont sans difficulté communiqué ces informations, on peine à comprendre comment les prévenus auraient pu savoir qu’ils ne devaient pas les partager entre eux. Comme le premier juge a estimé (jugement, p. 57) que l’élément subjectif de l’infraction, parmi d’autres, n’était pas rempli parce que les prévenus s’étaient souciés de la question en prenant conseil auprès d’un avocat, l’appelante soutient que la consultation d’un avocat serait la preuve que les prévenus savaient avoir quelque chose à se reprocher. On ne peut évidemment pas souscrire à ce point de vue. En effet, il n’est pas établi que l’avocat aurait répondu à ses clients qu’ils violeraient leurs obligations légales ou contractuelles, de sorte qu’ils auraient alors agi de mauvaise foi en poursuivant leur projet. Là encore, c’est en vain que l’appelante, en réplique, ajoute que les prévenus n’ont pas prouvé que l’avocat leur avait donné feu vert; ils n’avaient pas à l’établir. L’appelante fait valoir que les prévenus se prévalent, en invoquant cette consultation juridique, d’une erreur sur les faits ou l’illicéité et qu’il leur appartient de l’établir. Elle pourrait être suivie, si l’illicéité du comportement était prouvée. Tel n’est pas le cas. En définitive, la libération des prévenus doit être confirmée.</w:t>
      </w:r>
    </w:p>
    <w:p>
      <w:r>
        <w:rPr>
          <w:b/>
        </w:rPr>
        <w:t>E. 11</w:t>
      </w:r>
    </w:p>
    <w:p>
      <w:r>
        <w:t>L’appelante conteste le rejet de ses prétentions civiles en dépens pour ses frais d’avocat et de logiciel utile à l’enquête pénale. Cependant, son argumentation repose sur la prémisse que les prévenus seront reconnus coupables d’une faute pénale ou à tout le moins civile, ce qui n’est pas le cas. Cette conclusion doit être rejetée.</w:t>
      </w:r>
    </w:p>
    <w:p>
      <w:r>
        <w:t>- 37 -</w:t>
      </w:r>
    </w:p>
    <w:p>
      <w:r>
        <w:rPr>
          <w:b/>
        </w:rPr>
        <w:t>E. 12</w:t>
      </w:r>
    </w:p>
    <w:p>
      <w:r>
        <w:t>L’appelante conteste la mise à sa charge des frais de justice et d’une indemnité aux prévenus. Même libérés, ceux-ci auraient commis des actes illicites au plan civil à tout le moins. Ils auraient violé leur devoir de fidélité à l’égard de leur employeur en lui faisant concurrence, en révélant des secrets et en recrutant d’autres employés. L’appelante relève que le Ministère public a soutenu l’accusation. Elle dit s’être limitée à défendre ses droits. Elle fait ensuite valoir que les prévenus n’ont pas chiffré leur prétention qui ne pourrait dès lors être admise.</w:t>
      </w:r>
    </w:p>
    <w:p>
      <w:r>
        <w:rPr>
          <w:b/>
        </w:rPr>
        <w:t>E. 12.1</w:t>
      </w:r>
    </w:p>
    <w:p>
      <w:r>
        <w:t>A teneur de l’art. 426 CPP, le prévenu supporte les frais de procédure s'il est condamné. Font exception les frais afférents à la défense d'office;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Selon l’art. 427 al. 1 let. a CPP, les frais de procédure causés par les conclusions civiles de la partie plaignante peuvent être mis à la charge de celle-ci lorsque la procédure est classée ou que le prévenu est acquitté. A teneur de l’art. 427 al. 2 CPP, 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 (a) la procédure est classée ou le prévenu acquitté; (b) le prévenu n'est pas astreint au paiement des frais conformément à l'art. 426 al. 2 CPP. L’art. 427 al. 2 CPP est une norme de droit dispositif (dispositiver Natur); il doit être appliqué conformément à l’équité (ATF 138 IV 248 consid. 4.2.4, JdT 2013 IV 191). S’écartant de la lettre de la version française de la loi en faveur de ses versions allemande et italienne, le Tribunal fédéral a statué que l’art. 427 al. 2 CPP permet, en cas de libération du prévenu, de</w:t>
      </w:r>
    </w:p>
    <w:p>
      <w:r>
        <w:t>- 38 - mettre, selon les circonstances, à la charge de la partie plaignante prenant une part active à la procédure (notamment par le dépôt de conclusions civiles) les frais que celle-ci a occasionnés, même à défaut de témérité ou de négligence grave de cette partie (ATF 138 IV 248 consid. 4.2.3, JdT 2013 IV 191). D’après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à celui-ci de les chiffrer et de les justifier. L’art. 432 al. 1 CPP prévoit que le prévenu qui obtient gain de cause peut demander à la partie plaignante une juste indemnité pour les dépenses occasionnées par les conclusions civiles. L’art. 432 all 2 CPP dispose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al. 2 CPP – qui est aussi une norme de droit dispositif – permet, en cas de libération du prévenu, d’allouer à ce dernier, à la charge de la partie plaignante prenant une part active à la procédure (notamment par le dépôt de conclusions civiles) une indemnisation pour les dépenses occasionnées par l'exercice raisonnable de ses droits de procédure, même à défaut de témérité ou de négligence grave de la partie plaignante (cf. ATF 138 IV 248 consid. 5.3, JdT 2013 IV 191). Dans cette mesure, il existe un parallélisme avec la solution consacrée sous l’angle de l’art. 427 al. 2 CPP (arrêt précité, ibid.).</w:t>
      </w:r>
    </w:p>
    <w:p>
      <w:r>
        <w:rPr>
          <w:b/>
        </w:rPr>
        <w:t>E. 12.2</w:t>
      </w:r>
    </w:p>
    <w:p>
      <w:r>
        <w:t>Contrairement à ce que soutient l’appelante, aucun acte civilement illicite des prévenus n’est établi, ce qui exclut l’application de</w:t>
      </w:r>
    </w:p>
    <w:p>
      <w:r>
        <w:t>- 39 - l’art. 426 al. 2 CPP. Comme on l’a vu plus haut, un employé a le droit de préparer son départ et une future concurrence à l’égard de son employeur. Il n’y a pas eu de concurrence, à plus forte raison déloyale, de la part des prévenus pendant la durée des rapports de travail. Il n’est pas établi que les prévenus auraient négligé leurs tâches professionnelles par des absences répétées et l’appelante ne l’allègue du reste pas. La divulgation de données confidentielles, signalées comme telles, à l’interne ou à l’externe, n’est pas établie. Recruter de futurs associés ou, à plus forte raison, tenter de le faire n’est pas illicite non plus. En réplique, l’appelante se prévaut de la condamnation civile d’un ancien de ses employés, pour n’avoir pas révélé le projet des prévenus à la direction. Toutefois, ce tiers occupait une fonction dirigeante et son obligation de fidélité n’avait pas la même étendue que celles des prévenus. Sa condamnation n’implique pas celle des intimés. Quant aux considérants des jugements civils rendus dans cette autre cause, qui concernent les prévenus, ils ne sauraient leur être opposables, ceux-ci n’ayant pas été partie à la procédure civile, comme déjà dit plus haut. D’un autre côté, la plaignante a nourri la procédure pénale. Toutes les infractions en cause se poursuivent sur plainte. La plaignante a persisté jusqu’au bout, malgré les explications fournies par les prévenus, à soutenir l’accusation et à vouloir prendre des conclusions civiles. Ses procédés, dans une cause ample et complexe impliquant l’avenir professionnel des prévenus, ont amené ceux-ci à confier la défense de leurs intérêts à des mandataires de choix. Sa condamnation à payer les frais et une indemnité aux prévenus est dès lors, sur le principe, justifiée en vertu des art. 427 al. 1 let. a et al. 2 CPP et 429 al. 1 let. a CPP, respectivement 432 al. 1 et 2 CPP, ce même à défaut de témérité ou de négligence grave de sa part (ATF 138 IV 248 consid. 4.2.3 et 5.3, JdT 2013 IV 191, précité).</w:t>
      </w:r>
    </w:p>
    <w:p>
      <w:r>
        <w:rPr>
          <w:b/>
        </w:rPr>
        <w:t>E. 12.3</w:t>
      </w:r>
    </w:p>
    <w:p>
      <w:r>
        <w:t>En ce qui concerne la quotité des dépens, soit de la juste indemnité pour les dépenses occasionnées par les conclusions civiles de la plaignante en première instance, le Tribunal de police, statuant en</w:t>
      </w:r>
    </w:p>
    <w:p>
      <w:r>
        <w:t>- 40 - application de l’art. 432 al. 2 CPP (jugement, p. 60), a relevé que les prévenus n’avaient pas pris de conclusions chiffrées, mais avaient indiqué que le nombre d’heures effectuées par les défenseurs de choix était de 154 du 30 août 2010 au 29 octobre 2013 et que le tarif horaire appliqué était de 320 francs. Il a estimé qu’au jour du jugement, 70'000 fr. pouvaient être alloués, correspondant à environ 200 heures à ce tarif (jugement, p. 61). Ce raisonnement peut être suivi, étant rappelé que le prévenu n’a pas la même obligation de chiffrer sa prétention que la partie plaignante sous peine de forclusion (cf. art. 432 et 433, spéc. al. 2 CPP). En conclusion, l’appel doit être intégralement rejeté.</w:t>
      </w:r>
    </w:p>
    <w:p>
      <w:r>
        <w:rPr>
          <w:b/>
        </w:rPr>
        <w:t>E. 13</w:t>
      </w:r>
    </w:p>
    <w:p>
      <w:r>
        <w:t>Vu l'issue de l’appel, l'émolument d’appel (art. 21 al. 1 et 2 TFIP [Tarif des frais de procédure et indemnités en matière pénale du 28 septembre 2010; RSV 312.03.1]) sera mis à la charge de l’appelante, qui succombe (art. 428 al. 1 CPP). Les intimés, qui obtiennent gain de cause en ayant procédé avec l’assistance de mandataires de choix, ont conclu à l’octroi d’une indemnité pour les dépenses occasionnées par l'exercice raisonnable de leurs droits de procédure selon l’art. 429 CPP, respectivement à une juste indemnité pour les dépenses occasionnées par les conclusions civiles de leur partie adverse au sens de l’art. 432 al. 1 CPP. La question de savoir si cette norme-là est applicable au détriment de celle-ci lorsque les infractions poursuivies le sont sur plainte uniquement et que la partie plaignante prend des conclusions civiles à laquelle le prévenu libéré s’opposerait peut souffrir de rester indécise en l’espèce, dès lors qu’elle ne saurait affecter ni le principe, ni la quotité de l’indemnité de dépens. Les intimés ont justifié leurs prétentions à satisfaction de droit. Il convient de retenir une rétribution horaire de 350 fr. (cf. l’art. 26a al. 3 TFIP), pour une durée d’activité utile de 80 heures, y compris la durée de l’audience, vu l’ampleur du dossier et compte tenu du fait que la relative disparité des situations juridiques de certains des intimés exigeait un</w:t>
      </w:r>
    </w:p>
    <w:p>
      <w:r>
        <w:t>- 41 - examen séparé des moyens relatifs à leur défense. Pour le reste, il n’y a pas lieu de distinguer l’activité de l’un des deux défenseurs de choix par rapport à celle de l’autre. Aux honoraires et débours de 28'000 fr. sera ajouté un montant de 2’240 fr. au titre de la TVA. L’appelante versera ainsi aux prévenus, solidairement entre eux, le montant de 30'240 fr. à titre de juste indemnité pour les dépenses obligatoires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