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PE10.019891 vom 28. September 2011</w:t>
      </w:r>
    </w:p>
    <w:p>
      <w:r>
        <w:t>VD Tribunal cantonal, 2011-09-28, FR</w:t>
      </w:r>
    </w:p>
    <w:p>
      <w:r>
        <w:rPr>
          <w:b/>
        </w:rPr>
        <w:t xml:space="preserve">Quelle: </w:t>
      </w:r>
      <w:r>
        <w:t>https://mcp.opencaselaw.ch/entscheid/vd_gerichte_PE10.019891</w:t>
      </w:r>
    </w:p>
    <w:p>
      <w:r>
        <w:t>FR: VD_GERICHTE PE10.019891 du 28 septembre 2011</w:t>
      </w:r>
    </w:p>
    <w:p>
      <w:r>
        <w:t>IT: VD_GERICHTE PE10.019891 del 28 settembre 2011</w:t>
      </w:r>
    </w:p>
    <w:p>
      <w:pPr>
        <w:pStyle w:val="Heading2"/>
      </w:pPr>
      <w:r>
        <w:t>Erwägungen</w:t>
      </w:r>
    </w:p>
    <w:p>
      <w:r>
        <w:rPr>
          <w:b/>
        </w:rPr>
        <w:t>E. 4</w:t>
      </w:r>
    </w:p>
    <w:p>
      <w:r>
        <w:t>Il reste à examiner si, comme il le demande, le prévenu peut être libéré de l'infraction de dérobade aux mesures visant à établir l'incapacité à conduire.</w:t>
      </w:r>
    </w:p>
    <w:p>
      <w:r>
        <w:rPr>
          <w:b/>
        </w:rPr>
        <w:t>E. 4.1</w:t>
      </w:r>
    </w:p>
    <w:p>
      <w:r>
        <w:t>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(al.1)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(arrêt TF du 11 mai 2010 6b_216/2010, c. 3.1).</w:t>
      </w:r>
    </w:p>
    <w:p>
      <w:r>
        <w:t>- 16 - 4.2.1 En l’occurrence, la réalisation de la seconde condition (envisager la vraisemblance d'une investigation) ne fait aucun doute au vu des circonstances : conducteur sortant d’un établissement public, multipliant les pertes de maîtrise, ainsi que les heurts, et effectuant des manoeuvres chaotiques, incontrôlées et dangereuses. La police aurait manifestement ordonné un contrôle du taux d’alcoolémie ou un examen médical de l’aptitude à la conduite. 4.2.2 La première condition (violer une obligation d'aviser la police, de participer à l'établissement des faits, au besoin en restant sur place pour participer aux constatations nécessaires [art. 56 OCR ordonnance sur les règles de la circulation routière; RS 741.11]) est également réalisée. Si malgré les dégâts matériels portés à sa voiture, J.________ n'a pas entrepris d’aviser la police, de sorte qu'il n’y avait pas accident justifiant un avis à la police au sens de l’art. 51 LCR (Jeanneret, op. cit. n. 27 ad art. 91 a LCR) pour ce cas, il en va différemment de la première phase de l’accident, soit les chocs contre la façade du Centre espagnol, susceptibles de l’avoir endommagée. Pour ces faits, la police a été alertée téléphoniquement par des tiers, vraisemblablement par le témoin I.________, exploitant du centre. Or, l’appelant a quitté les lieux sans attendre, donc sans vérifier si l’immeuble avait été endommagé, sans savoir qui était, le cas échéant, le lésé, et s’il souhaitait faire appel à la police. Le prévenu n'a donc pas du tout collaboré à l’établissement des faits, cela en violation de l’art. 56 al. 2 OCR, ce qui suffit pour constater une violation des devoirs en cas d’accident permettant l’application de l’art. 91a LCR (Jeanneret, op. cit. n. 25 ad art. 91a LCR).</w:t>
      </w:r>
    </w:p>
    <w:p>
      <w:r>
        <w:rPr>
          <w:b/>
        </w:rPr>
        <w:t>E. 5</w:t>
      </w:r>
    </w:p>
    <w:p>
      <w:r>
        <w:t>Vu ce qui précède, le jugement entrepris retient à juste titre que l'intéressé s'est rendu coupable de violation des devoirs en cas d'accident et de dérobade aux mesures tentant à déterminer l'incapacité de conduire, ainsi que de violation simple des règles de la circulation routière.</w:t>
      </w:r>
    </w:p>
    <w:p>
      <w:r>
        <w:rPr>
          <w:b/>
        </w:rPr>
        <w:t>E. 6</w:t>
      </w:r>
    </w:p>
    <w:p>
      <w:r>
        <w:t>La peine fixée par le premier juge (soit, 30 jours-amende à 50 fr. avec sursis pendant deux ans et une amende de 800 fr. convertible en 16 jours de peine privative de liberté de substitution) est adéquate au</w:t>
      </w:r>
    </w:p>
    <w:p>
      <w:r>
        <w:t>- 17 - regard des infractions commises, de la culpabilité de l'appelant et de sa situation personnelle. Elle ne relève ni d'un abus, ni d'un excès du pouvoir d'appréciation. Elle sera donc confirmée.</w:t>
      </w:r>
    </w:p>
    <w:p>
      <w:r>
        <w:rPr>
          <w:b/>
        </w:rPr>
        <w:t>E. 7</w:t>
      </w:r>
    </w:p>
    <w:p>
      <w:r>
        <w:t>En définitive, l'appel doit être rejeté. Vu le sort de l'appel, les frais de seconde instance, totalisant 1'500 fr. (mille cinq cents francs) doivent être mis à la charge de N.________.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