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PE10.017348 vom 22. November 2011</w:t>
      </w:r>
    </w:p>
    <w:p>
      <w:r>
        <w:t>VD Tribunal cantonal, 2011-11-22, FR</w:t>
      </w:r>
    </w:p>
    <w:p>
      <w:r>
        <w:rPr>
          <w:b/>
        </w:rPr>
        <w:t xml:space="preserve">Quelle: </w:t>
      </w:r>
      <w:r>
        <w:t>https://mcp.opencaselaw.ch/entscheid/vd_gerichte_PE10.017348</w:t>
      </w:r>
    </w:p>
    <w:p>
      <w:r>
        <w:t>FR: VD_GERICHTE PE10.017348 du 22 novembre 2011</w:t>
      </w:r>
    </w:p>
    <w:p>
      <w:r>
        <w:t>IT: VD_GERICHTE PE10.017348 del 22 novembre 2011</w:t>
      </w:r>
    </w:p>
    <w:p>
      <w:pPr>
        <w:pStyle w:val="Heading2"/>
      </w:pPr>
      <w:r>
        <w:t>Erwägungen</w:t>
      </w:r>
    </w:p>
    <w:p>
      <w:r>
        <w:rPr>
          <w:b/>
        </w:rPr>
        <w:t>E. 16</w:t>
      </w:r>
    </w:p>
    <w:p>
      <w:r>
        <w:t>et 26). Enfin, le rapport du 18 novembre 2011 établi par le SPPEA fait état d'un syndrome de stress post-traumatique lié à l'agression sexuelle, relevant la présence de cauchemars, de difficulté de sommeil, de troubles de l'appétit, de pensées récurrentes liées au viol. Compte tenu de ces éléments, les premiers juges étaient fondés à retenir la version de la plaignante, le jugement étant parfaitement convaincant s'agissant de la contrainte (cf. jgt., pp. 19 et 20). Leur choix n'est ni erroné ni arbitraire. Pour les mêmes motifs, les affirmations de l'appelant quant à l'âge présumé de V.________ ne sont pas plus convaincantes que le reste de ses déclarations. Enfin, le caractère sexuel des actes que D.________ a infligé à sa victime étant évident, sa condamnation pour le chef d'inculpation visé à l'art. 187 CP ne prête pas le flanc à la critique. On peut relever, pour autant que de besoin, qu'il en va de même des infractions de contrainte sexuelle et de viol. Ce grief, mal fondé, doit être rejeté. 4. D.________ conteste la quotité de la peine qu'il estime excessivement sévère. Il cite de la jurisprudence à l'appui de son grief et conclut au prononcé d'une peine privative de liberté de deux ans au maximum.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- 15 -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4.2 Aux termes de l'art. 19 al. 2 CP, le juge atténue la peine si, au moment d'agir, l'auteur ne possédait que partiellement la faculté d'apprécier le caractère illicite de son acte ou de se déterminer d'après cette appréciation. Dans un arrêt récent,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w:t>
      </w:r>
    </w:p>
    <w:p>
      <w:r>
        <w:t>- 16 -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Il s'agit de diminuer la faute et non la peine, la réduction de la peine n'étant que la conséquence de la faute plus légère (TF 6B_238/2009 du 8 mars 2010 consid. 5.5 et 5.7). Le juge jouit d'un large pouvoir d'appréciation pour apprécier l'effet d'une responsabilité limitée sur la fixation de la peine. Il n'est pas tenu d'exprimer en chiffres ou en pourcentage l'importance qu'il accorde à cet élément et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(TF 6B_238/2009 du 8 mars 2010 consid. 5.6).</w:t>
      </w:r>
    </w:p>
    <w:p>
      <w:r>
        <w:t>- 17 - 4.3 S'agissant enfin du grief d'inégalité de traitement dans la fixation de la peine, le Tribunal fédéral a rappelé de manière constante que le principe de l'individualisation de la peine et le large pouvoir conféré par la loi au juge dans la fixation de celle-ci conduisent nécessairement à une certaine inégalité dont le législateur s'est accommodé (TF 6P.1/2004 du 16 mars 2004 consid. 8.6 et les références citées; ATF 120 IV 136 c. 3a; ATF 116 IV 292 précité). Les diverses pondérations entre les critères déterminants sont notamment la conséquence de la libre appréciation des preuves par le juge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 Basler Kommentar, Strafrecht I, 2e éd., 2007, n. 159 ad art. 47 CP, pp. 876 s. et les réf. cit.). 4.4 Dans le cas d'espèce, les premiers juges ont retenu que la culpabilité de D.________ était lourde, ce dernier tendant deux traquenards successifs à sa victime pour finalement triompher de sa résistance par la violence (cf. jgt. p. 23). Ils ont retenu à sa charge que l'appelant s'en est pris à une toute jeune fille, lui imposant une expérience sordide durablement traumatisante, qu'il s'est obstiné dans le déni et n'a démontré aucune prise de conscience ni témoigné le moindre remords. Ils ont également retenu les antécédents de violence de l'appelant ainsi que le concours d'infractions. A sa décharge, les premiers juges ont admis une responsabilité restreinte.</w:t>
      </w:r>
    </w:p>
    <w:p>
      <w:r>
        <w:t>- 18 - Avec eux, on ne peut que constater que l'appelant a fait preuve d'obstination en entraînant à deux reprises sa victime dans un piège, d'abord le 7 juillet 2010 puis - n'étant pas parvenu à ses fins - dix jours après. Il a pris le prétexte de restituer à V.________ son collier pour la convaincre de se rendre à un rendez-vous à la gare de Vevey. Ayant toutefois pris le soin de cacher le collier dans un abri anti-atomique la veille ou l'avant-veille, il a finalement obligé sa victime à le suivre pour ensuite la violenter et abuser d'elle dans un lieu sordide. Il a, ainsi, fait preuve de brutalité et d'égoïsme vis-à-vis d'une très jeune fille à qui il a imposé une expérience durablement traumatisante. On relève au surplus que les regrets exprimés aux débats d'appel semblent de façade. D.________ s'est en effet obstiné à soutenir qu'il ne s'était pas rendu compte de "l'inenvie" (sic) de sa victime alors qu'il usait de violence et de menaces pour abuser d'elle. Ces regrets ne justifient pas une réduction de la quotité de la peine prononcée. Au vu de l'ensemble de ces éléments et compte tenu de la jurisprudence fédérale rappelée ci-dessus (consid. 4.3), c'est en vain que le recourant prétend que des peines inférieures auraient été prononcées dans des causes où les faits reprochés, qui ne sont au demeurant pas seuls déterminants pour fixer la peine, étaient similaires à ceux dont il doit répondre. La peine de quatre ans de privation de liberté infligée à D.________ est conforme à sa culpabilité et tient compte de sa situation personnelle. Elle ne relève ni d’un abus ni d’un excès du pouvoir d’appréciation dont jouit l’autorité de première instance, laquelle n’a ignoré aucun des critères déterminants consacrés à l’art. 47 CP (cf. supra consid. 4.1 et 4.2). Elle doit donc être confirmée. Ce grief, mal fondé, doit être rejeté. 5. D.________ conteste le montant de l'indemnité pour tort moral alloué par les premiers juges, citant de la jurisprudence à l'appui de son grief.</w:t>
      </w:r>
    </w:p>
    <w:p>
      <w:r>
        <w:t>- 19 - 5.1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 l'atteinte ou, plus exactement, de l'intensité des souffrances résultant de cette atteinte et de la possibilité d'adoucir de manière sensible la douleur morale du lésé par le versement d'une somme d'argent (ATF 125 III 269 c. 2a; ATF 118 II 410, c. 2a, rés. JT 1993 I 742 et les réf. cit.; voir aussi Hütte/Ducksch/Gross, Le tort moral, 3ème éd., Zurich 1996, I/66 a, ch. 7.5.2).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(TF 6S.334/2003 du 10 octobre 2003, c. 5.2 et les références citées). 5.2 En l'occurrence, les premiers juges ont retenu que V.________ présentait un syndrome de stress post-traumatique lié à l'agression sexuelle, les médecins relevant la présence de cauchemars, de difficulté de sommeil, de troubles de l'appétit, de pensées récurrentes liées au viol</w:t>
      </w:r>
    </w:p>
    <w:p>
      <w:r>
        <w:t>- 20 - pour admettre l'indemnisation du tort moral subi tant dans son principe que s'agissant du montant réclamé par la plaignante (cf. jgt., p. 24). La Cour de céans retient également le caractère particulièrement sordide du contexte, la violence verbale et physique dont a fait preuve l'appelant et enfin le jeune âge de la victime. Elle relève que la plaignante souffre encore des séquelles de son agression plus d'une année après les faits et qu'elle suit toujours une psychothérapie à la Fondation de Nant. Les psychothérapeutes indiquent qu'elle a de la peine à aborder son agression qui la rend triste et en colère, qu'elle ressent toujours de l'anxiété dans le train, qu'elle est en proie à des cauchemars et à des difficultés de sommeil et que depuis avril 2011, elle a remarqué une diminution de l'appétit. La plaignante évoque des idées noires et une envie de mourir et elle nourrit des sentiments de honte, de culpabilité et d'impuissance (cf. Pièce 78). Au vu de ce qui précède, les premiers juges n'ont pas excédé leur large pouvoir d'appréciation en fixant l'indemnité à 30'000 fr., montant qui paraît proportionné à la gravité de l'atteinte subie par V.________. Le moyen est donc mal fondé et doit être rejeté. 6. En définitive, l'appel doit être rejeté et le jugement attaqué intégralement confirmé. Vu l'issue de la cause, les frais d'appel doivent être mis à la charge de D.________ (art. 428 al. 1 CPP). Outre l'émolument, par 2'240 fr., ces frais comprennent l’indemnité allouée à son défenseur d’office, par 2’721 fr. 60, TVA et débours compris, ainsi que l'indemnité allouée au conseil d'office de V.________ par 777 fr. 60, TVA comprise. D.________ ne sera tenu de rembourser à l’Etat le montant des indemnités en faveur de son défenseur d'office et du conseil d’office de la</w:t>
      </w:r>
    </w:p>
    <w:p>
      <w:r>
        <w:t>- 21 - partie plaignante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