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PE10.016048 vom 6. Mai 2011</w:t>
      </w:r>
    </w:p>
    <w:p>
      <w:r>
        <w:t>VD Tribunal cantonal, 2011-05-06, FR</w:t>
      </w:r>
    </w:p>
    <w:p>
      <w:r>
        <w:rPr>
          <w:b/>
        </w:rPr>
        <w:t xml:space="preserve">Quelle: </w:t>
      </w:r>
      <w:r>
        <w:t>https://mcp.opencaselaw.ch/entscheid/vd_gerichte_PE10.016048</w:t>
      </w:r>
    </w:p>
    <w:p>
      <w:r>
        <w:t>FR: VD_GERICHTE PE10.016048 du 6 mai 2011</w:t>
      </w:r>
    </w:p>
    <w:p>
      <w:r>
        <w:t>IT: VD_GERICHTE PE10.016048 del 6 maggio 2011</w:t>
      </w:r>
    </w:p>
    <w:p>
      <w:pPr>
        <w:pStyle w:val="Heading2"/>
      </w:pPr>
      <w:r>
        <w:t>Erwägungen</w:t>
      </w:r>
    </w:p>
    <w:p>
      <w:r>
        <w:rPr>
          <w:b/>
        </w:rPr>
        <w:t>E. 3</w:t>
      </w:r>
    </w:p>
    <w:p>
      <w:r>
        <w:t>juillet 2010, l’intéressé présentait un taux d’alcool de 1,37 g o/oo. Cela étant, les premiers juges ont retenu une « diminution formelle de responsabilité » (p. 10 et le dispositif qui fait référence à l’art. 19 al. 2 CP) sur la base de l’expertise psychiatrique. Or, les experts, dans leur rapport (P. 8), se sont penchés sur la question de l’alcoolisation car ce fait était déjà invoqué pour l’un des épisodes alors reprochés à l’intéressé. Ils en ont tenu compte dans leurs conclusions en ce sens que l’alcool a pu favoriser une désinhibition (pp. 14 et 16). Leur appréciation est transposable aux faits survenus le 3 juillet 2010. Au surplus, ces infractions ne constituent pas un acte isolé et spontané à mettre sur le compte d'une alcoolisation, puisqu’il y a eu des précédents (le jugement du 4 juin 2009 retient plusieurs épisodes de harcèlement divers) et que, trois mois avant de menacer la plaignante, le prévenu avait pris soin d’acheter une arme avec la munition correspondante en quantité considérable.</w:t>
      </w:r>
    </w:p>
    <w:p>
      <w:r>
        <w:t>- 18 - A défaut de circonstances particulièrement favorables au sens légal, il n'existe donc aucun élément de nature à renverser la présomption posée en défaveur du sursis par l'art. 42 al. 2 CP dans un cas semblable. Le refus du sursis découle ainsi directement de l'art. 42 al. 2 CP et sa motivation satisfait aux réquisits de l'art. 50 CP. Il ne procède pas d'une violation du droit fédéral, y compris d’un excès ou d’un abus du pouvoir d’appréciation, au sens de l'art. 398 al. 3 let. a CPP. On ne voit pas non plus en quoi le jugement entrepris serait inopportun à cet égard au sens de l'art. 398 al. 3 let. c CPP. 6.1 Enfin, l'appelant conteste la révocation du sursis assortissant la peine prononcée par le jugement du 4 juin 2009 du Tribunal correctionnel de l’arrondissement de Lausanne. En plaidoirie, il a fait valoir qu'un pronostic favorable devait être posé à son égard, pour le motif que les infractions ici en cause avaient été commises dans l'état émotionnel perturbé de manière récurrente résultant de son divorce. 6.2 La révocation du sursis dépend des infractions commises pendant le délai d'épreuve, lesquelles permettront d'établir un pronostic favorable ou défavorable (ATF 134 IV 140 c. 4.2). Seul un pronostic défavorable peut justifier la révocation; à défaut, le juge doit renoncer à celle-ci (ATF 134 IV 140 c. 4.3). Le pronostic doit être posé sur la base d'une appréciation d'ensemble, qui tienne compte des circonstances de l'infraction, des antécédents du condamné, de sa réputation et de sa situation personnelle au moment du jugement, notamment de l'état d'esprit qu'il manifeste, soit de tous les éléments propres à éclairer l'ensemble de son caractère et ses chances d'amendement. Il est inadmissible que le juge qui pose ce pronostic accorde un poids particulier à certains critères et qu'il en néglige d'autres qui sont pertinents. Il doit par ailleurs motiver sa décision (cf. art. 50 CP) d'une manière qui permette de vérifier s'il a tenu compte de tous les éléments pertinents et de comprendre comment il les a appréciés (ATF 134 IV 140 c. 4.4). ). Lorsqu'il s'agit de fixer le pronostic, le juge doit également tenir compte de l'effet dissuasif que peut exercer la nouvelle peine, si elle doit être exécutée; il en va de même s'agissant de l'effet de l'exécution d'une peine, à la suite</w:t>
      </w:r>
    </w:p>
    <w:p>
      <w:r>
        <w:t>- 19 - de la révocation d'un sursis accordé précédemment (ATF 134 IV 140 c. 4.5). Un autre critère déterminant pour juger du risque de réitération et, partant, pour poser le pronostic prévu par la loi est celui de l'effet de choc et d'avertissement (Schock- und Warnungswirkung) issu de la condamnation précédente, y compris en ce qui concerne l'aménagement ultérieur de la vie de l'intéressé; s'il est avéré, un tel effet constitue un facteur favorable – même s'il n'est pas déterminant à lui seul - dans l'examen du pronostic (cf. l'arrêt précité c. 5.3). La faculté qui est accordée au juge de modifier le genre de la peine révoquée pour fixer, avec la nouvelle sanction, une peine d'ensemble conformément à l'art. 46 CP peut se révéler problématique. La fixation d'une peine d'ensemble par application analogique de l'art. 46 CP n'entre pas en considération si la peine assortie du sursis révoqué et celle nouvellement prononcée sont du même genre (ATF 134 IV 241 c. 4.4.1). De plus, cette modification n'est que facultative (arrêt précité, ibid.); elle est donc laissée à l'appréciation du juge, qui doit toutefois motiver son choix sans abuser de son pouvoir. 6.3 Le prévenu a été condamné notamment pour menaces qualifiées et violation de domicile, ce déjà au préjudice de sa future ex- femme. Il y a donc une récidive spéciale, dans le délai d’épreuve de deux ans imparti par le jugement du 4 juin 2009. A ce jour encore, le prévenu refuse d’admettre ses torts et tient des propos qualifiés d'inquiétants. Le risque de récidive est attesté aussi par l’expertise psychiatrique. La détention n’a pas eu d’effet dissuasif, que ce soit celle subie à la suite de la première affaire, ou la détention avant jugement subie jusqu’aux débats, puisque l’intéressé refuse de dire qu’il changera de comportement après sa libération; bien plutôt, il continue de tenir des propos inquiétants. Les souffrances ressenties par l'intéressé n'ont pas été ignorées par la cour, qui les tient expressément pour avérées. Dans ces conditions, c’est à juste titre que les premiers juges ont considéré que le pronostic était défavorable, ce même après l'exécution de la peine privative de liberté</w:t>
      </w:r>
    </w:p>
    <w:p>
      <w:r>
        <w:t>- 20 - nouvellement prononcée. On ne trouve aucun élément favorable. La cour de céans fait donc siennes les conclusions pessimistes du tribunal correctionnel. La révocation du sursis procède ainsi également, à tous égards, d'une correcte application du droit fédéral.</w:t>
      </w:r>
    </w:p>
    <w:p>
      <w:r>
        <w:rPr>
          <w:b/>
        </w:rPr>
        <w:t>E. 7</w:t>
      </w:r>
    </w:p>
    <w:p>
      <w:r>
        <w:t>L'appel doit donc être rejeté. La détention subie depuis le jugement de première instance est déduite. Le maintien en détention de l'appelant à titre de sûreté est ordonné. L'appelant succombe entièrement sur ses conclusions. Les frais de la procédure d'appel selon l'art. 424 CPP doivent être mis à sa charge (art. 428 al. 1, 1ère phrase, CPP). Ces frais comprennent l'indemnité de son défenseur d’office pour la procédure d’appel, d'une part, et l'indemnité de conseil d’office pour la procédure d’appel en faveur de l'intimée, d'autre part. Elles doivent être arrêtées respectivement à 3'067 fr. 20 et à 2'574 fr. 70, débours et TVA compris, au vu de l'ampleur des opérations effectuées par l'un et par l'autre des mandataires. L'appelant ne sera tenu de rembourser à l’Etat le montant des indemnités prévues ci-dessus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