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PE10.014006 vom 13. Juli 2012</w:t>
      </w:r>
    </w:p>
    <w:p>
      <w:r>
        <w:t>VD Tribunal cantonal, 2012-07-13, FR</w:t>
      </w:r>
    </w:p>
    <w:p>
      <w:r>
        <w:rPr>
          <w:b/>
        </w:rPr>
        <w:t xml:space="preserve">Quelle: </w:t>
      </w:r>
      <w:r>
        <w:t>https://mcp.opencaselaw.ch/entscheid/vd_gerichte_PE10.014006</w:t>
      </w:r>
    </w:p>
    <w:p>
      <w:r>
        <w:t>FR: VD_GERICHTE PE10.014006 du 13 juillet 2012</w:t>
      </w:r>
    </w:p>
    <w:p>
      <w:r>
        <w:t>IT: VD_GERICHTE PE10.014006 del 13 luglio 2012</w:t>
      </w:r>
    </w:p>
    <w:p>
      <w:pPr>
        <w:pStyle w:val="Heading2"/>
      </w:pPr>
      <w:r>
        <w:t>Erwägungen</w:t>
      </w:r>
    </w:p>
    <w:p>
      <w:r>
        <w:rPr>
          <w:b/>
        </w:rPr>
        <w:t>E. 3</w:t>
      </w:r>
    </w:p>
    <w:p>
      <w:r>
        <w:t>L’appelant se prévaut d'une violation de l’art. 191 CPL.________</w:t>
      </w:r>
    </w:p>
    <w:p>
      <w:r>
        <w:rPr>
          <w:b/>
        </w:rPr>
        <w:t>E. 3.1</w:t>
      </w:r>
    </w:p>
    <w:p>
      <w:r>
        <w:t>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Selon la jurisprudence,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119 IV 230 c. 3a p. 232 relatif à l'ancien art. 189 CP). La jurisprudence a encore admis qu’à défaut de perception visuelle des actes de l’auteur, seules demeurent les sensations corporelles au niveau génital, lesquelles ne permettent aux victimes de réagir qu’à un stade où l’auteur est sur le point d’abuser d’elles (ATF 133 IV 49; JT 2009 IV 10). Enfin, il peut y avoir application de l’art. 191 CP lorsque, dans le</w:t>
      </w:r>
    </w:p>
    <w:p>
      <w:r>
        <w:t>- 19 - cadre d’une relation de confiance et alors que la victime n’a aucune raison d’être sur ses gardes, elle a été prise au dépourvu par les agissements de son thérapeute et, sous l’effet de la surprise, incapable d’y résister et de s’y opposer (TF 6B_920/2009 du 18 février 2010, c. 3). Sur le plan subjectif, l’art. 191 CP exige encore que l’auteur ait agi avec conscience et volonté, y compris qu’il ait eu conscience de l’incapacité de résistance de sa victime. Le dol éventuel est punissable.</w:t>
      </w:r>
    </w:p>
    <w:p>
      <w:r>
        <w:rPr>
          <w:b/>
        </w:rPr>
        <w:t>E. 3.2</w:t>
      </w:r>
    </w:p>
    <w:p>
      <w:r>
        <w:t>En l'espèce, Z.________ est entré dans la chambre de L.________ qui dormait nue sur le ventre sous son duvet. S'étant réveillée, la victime est restée dans cette position, sans contact visuel avec l'intéressé. Z.________ s'est assis sur le lit, a retiré un bout du duvet et a dit à L.________ qu'il allait lui masser le dos en lui demandant si elle aimait ça. Elle a répondu par l'affirmative. Le prévenu lui a alors caressé tout l'arrière du corps, notamment les fesses et l'entrejambe. Surprise et pétrifiée, la jeune fille n'a pas réagi; elle est restée sans bouger en attendant que son beau-père s'en aille, ce qu'il a fini par faire. Elle ne pouvait pas s’attendre à un tel acte, car le prévenu était un proche et elle avait confiance en lui. Elle ne le regardait pas. Le geste incriminé a été furtif. La victime n'a pas pu s’y opposer avant qu’il ne soit consommé. La surprise et la rapidité du geste fondent l'incapacité de résistance. L'élément objectif de l'infraction à l'art. 191 CP est donc réalisé. En outre, le prévenu savait ou devait savoir que L.________ serait surprise, et ne serait pas en mesure de s'opposer à son geste (notamment parce qu'elle s'attendait à un massage du dos). Enfin, il n'avait aucune raison – autre que sexuelle – de toucher l'entrejambe de L.________. L'élément subjectif est également réalisé.</w:t>
      </w:r>
    </w:p>
    <w:p>
      <w:r>
        <w:t>- 20 - Le premier juge n'a donc pas violé le droit fédéral en reconnaissant Z.________ coupable d'acte d'ordre sexuel avec une personne incapable de discernement ou de résistance.</w:t>
      </w:r>
    </w:p>
    <w:p>
      <w:r>
        <w:rPr>
          <w:b/>
        </w:rPr>
        <w:t>E. 4</w:t>
      </w:r>
    </w:p>
    <w:p>
      <w:r>
        <w:t>Il s'ensuit que l'appel de Z.________ est en tous points mal fondé et doit être rejeté, ce qui entraîne le rejet de la demande d'indemnité pour tort moral de l'art. 429 CPP formulée aux débats d'appel. Appel joint du Ministère public</w:t>
      </w:r>
    </w:p>
    <w:p>
      <w:r>
        <w:rPr>
          <w:b/>
        </w:rPr>
        <w:t>E. 5</w:t>
      </w:r>
    </w:p>
    <w:p>
      <w:r>
        <w:t>Le Parquet conteste la peine infligée, qu'il juge trop clémente. Il considère que seule une peine privative de liberté de six mois avec sursis pendant trois ans serait suffisamment dissuasive pour ce prévenu dont la situation économique ne permet pas l'exécution d'une peine pécuniaire. Une amende de 1'000 fr. devait en outre lui être infligée à titre de sanction immédiate.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w:t>
      </w:r>
    </w:p>
    <w:p>
      <w:r>
        <w:t>- 21 -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TF 6B_759/2011 du 19 avril 2012 c. 1.1). Les condamnations qui ont été éliminées du casier judiciaire ne peuvent plus être utilisées pour l'appréciation de la peine ou l'octroi du sursis dans le cadre d'une nouvelle procédure pénale (ATF 135 IV 87 c. 2). Dans la conception de la nouvelle partie générale du Code pénal, la peine pécuniaire constitue la sanction principale. Les peines privatives de liberté ne doivent être prononcées que lorsque l'Etat ne peut garantir d'une autre manière la sécurité publique. Pour choisir la nature de la peine, le juge doit prendre en considération l'opportunité de la sanction déterminée, ses effets sur l'auteur et son milieu social, ainsi que son efficacité préventive (ATF 134 IV 97 c. 4; arrêt 6B_234/2010 du 4 janvier 2011 c. 4.1.1). Une peine pécuniaire peut être exclue pour des motifs de prévention spéciale (TF du 14 juin 2011, 6B_128/2011, c. 3.4) ou si elle n'est pas exécutable parce qu'elle prive le prévenu du nécessaire, voire de l'indispensable (ATF 134 IV 97 c. 5.2.3).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Le droit au sursis s'examine selon les critères posés par l'art. 42 CP, qui ont été rappelés dans l'arrêt publié aux ATF 135 IV 180 c. 2.1. Il y est renvoyé. Le sursis est désormais la règle dont on ne peut s'écarter qu'en présence d'un pronostic défavorable. Il prime en cas d'incertitude (ATF 134 IV 5 c. 4.2.2). L'art. 42 al. 4 CP prévoit que le juge peut prononcer, en plus du sursis, une peine pécuniaire sans sursis ou une amende selon l'art. 106 CP.</w:t>
      </w:r>
    </w:p>
    <w:p>
      <w:r>
        <w:t>- 22 -</w:t>
      </w:r>
    </w:p>
    <w:p>
      <w:r>
        <w:rPr>
          <w:b/>
        </w:rPr>
        <w:t>E. 5.2</w:t>
      </w:r>
    </w:p>
    <w:p>
      <w:r>
        <w:t>A la charge de Z.________, on retiendra que sa faute est grave, même si l'acte en lui-même ne l'est pas trop. Le prévenu s'en est pris à l'intégrité sexuelle d'une personne proche encore adolescente, et n'a pas hésité à trahir la confiance qu'elle avait en lui. A la décharge du prévenu, on relèvera que l'acte incriminé est ancien, isolé et bref, que ses dénégations ne s’accompagnent d'aucun dénigrement de la victime, d'aucun propos minimisant la gravité de l’accusation, et qu'une simple mise au point de la mère a suffi à l'arrêter, ce qui montre une certaine prise de conscience. Ne sont, en revanche, pas des éléments à décharge les problèmes conjugaux, la jeunesse difficile de l'appelant et sa situation économique obérée. Le prévenu ne prétend d'ailleurs pas qu'une faiblesse passagère l’aurait amené à prodiguer un massage qu’il aurait refusé en temps ordinaire. Au vu des éléments à charge et à décharge, une peine de quatre mois est adéquate. Elle peut être assortie d'un sursis, le pronostic n'étant pas défavorable. Le principe du sursis et la durée du délai d'épreuve (3 ans) ne sont pas remis en cause par le Ministère public et sont en outre conformes à l'art. 44 CP.</w:t>
      </w:r>
    </w:p>
    <w:p>
      <w:r>
        <w:rPr>
          <w:b/>
        </w:rPr>
        <w:t>E. 5.3</w:t>
      </w:r>
    </w:p>
    <w:p>
      <w:r>
        <w:t>Une peine privative de liberté d'une durée inférieure à six mois avec sursis n'est pas possible (art. 41 CP). Un travail d'intérêt général n'entrant pas en ligne de compte, seule une peine pécuniaire peut être envisagée. Une telle sanction est exécutable même si la situation économique du prévenu est précaire, car qu'elle ne prive pas ce dernier du nécessaire, voire de l'indispensable (ATF 134 IV 97 c. 5.2.3). Cette question se pose d'autant moins que la peine est suspendue pendant trois ans. Une peine pécuniaire paraît en outre suffisamment dissuasive dans le cas de Z.________, car ce dernier a commis un acte isolé et une seule mise au point avec la mère de la victime a suffi à l'amender. Selon l'art. 34 al. 2 2ème phrase CP, le juge fixe le montant du jour-amende selon la situation personnelle et économique de l'auteur au</w:t>
      </w:r>
    </w:p>
    <w:p>
      <w:r>
        <w:t>- 23 - moment du jugement, notamment en tenant compte de son revenu et de sa fortune, de son mode de vie, de ses obligations d'assistance, en particulier familiales, et du minimum vital. Enfin, le minimum vital visé par l'art. 34 al. 2 2ème phrase CP ne correspond pas à celui du droit des poursuites, sauf quoi un cercle étendu de la population serait exclu de la peine pécuniaire, ce qui n'est précisément pas la volonté du législateur (TF 6B_1/2012 du 18 avril 2012 c. 2.2.1). La valeur du jour-amende peut être fixée à 30 fr. au vu de la situation économique de l'intéressé au moment du jugement (ATF 116 IV 4 c. 3a). A titre de sanction immédiate, une amende de 750 fr. est proportionnée à la faute commise (art. 106 CP). En cas de non-exécution fautive, cette peine sera convertie en une peine privative de liberté de 25 jours, soit conformément aux règles en vigueur (ATF 135 IV 188 c. 3.4.4), à un taux de conversion représentant un cinquième de la peine principale comptée en francs et en jours.</w:t>
      </w:r>
    </w:p>
    <w:p>
      <w:r>
        <w:t>- 24 - La peine fixée par le premier juge est justifiée et doit être confirmée, ce qui entraîne le rejet de l'appel joint du Ministère public.</w:t>
      </w:r>
    </w:p>
    <w:p>
      <w:r>
        <w:rPr>
          <w:b/>
        </w:rPr>
        <w:t>E. 6</w:t>
      </w:r>
    </w:p>
    <w:p>
      <w:r>
        <w:t>Il reste à fixer les frais et les indemnités de seconde instance.</w:t>
      </w:r>
    </w:p>
    <w:p>
      <w:r>
        <w:rPr>
          <w:b/>
        </w:rPr>
        <w:t>E. 6.1</w:t>
      </w:r>
    </w:p>
    <w:p>
      <w:r>
        <w:t>Les frais d'appels se montent à 2'240 francs. L'indemnité d'office due à Me Yann Jaillet est fixée à 1'712 fr. 90 sur la base de la liste des opérations et débours qu'il a produite. Le total des frais et indemnités de seconde instance se monte donc à 3'952 fr. 90 (soit, 2'240 fr. + 1'712 fr. 90).</w:t>
      </w:r>
    </w:p>
    <w:p>
      <w:r>
        <w:rPr>
          <w:b/>
        </w:rPr>
        <w:t>E. 6.2</w:t>
      </w:r>
    </w:p>
    <w:p>
      <w:r>
        <w:t>Vu le sort des appels, le prévenu supportera les deux tiers des frais d’appel, soit 2'635 fr. 25. Le solde, par 1'317 fr. 65, est laissé à la charge de l'Etat (art. 428 al.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