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PE10.013763 vom 18. Januar 2012</w:t>
      </w:r>
    </w:p>
    <w:p>
      <w:r>
        <w:t>VD Tribunal cantonal, 2012-01-18, FR</w:t>
      </w:r>
    </w:p>
    <w:p>
      <w:r>
        <w:rPr>
          <w:b/>
        </w:rPr>
        <w:t xml:space="preserve">Quelle: </w:t>
      </w:r>
      <w:r>
        <w:t>https://mcp.opencaselaw.ch/entscheid/vd_gerichte_PE10.013763</w:t>
      </w:r>
    </w:p>
    <w:p>
      <w:r>
        <w:t>FR: VD_GERICHTE PE10.013763 du 18 janvier 2012</w:t>
      </w:r>
    </w:p>
    <w:p>
      <w:r>
        <w:t>IT: VD_GERICHTE PE10.013763 del 18 gennaio 2012</w:t>
      </w:r>
    </w:p>
    <w:p>
      <w:pPr>
        <w:pStyle w:val="Heading2"/>
      </w:pPr>
      <w:r>
        <w:t>Erwägungen</w:t>
      </w:r>
    </w:p>
    <w:p>
      <w:r>
        <w:rPr>
          <w:b/>
        </w:rPr>
        <w:t>E. 3</w:t>
      </w:r>
    </w:p>
    <w:p>
      <w:r>
        <w:t>F.________ a admis les faits s'agissant des infractions commises le 15 juillet 2010 et ne conteste pas leur qualification juridique. En revanche, s'agissant des faits survenus le 14 mai 2010, il considère que le premier juge a apprécié de manière erronée les témoignages et les pièces du dossier l'incriminant pour écarter ses dénégations constantes. L'appelant a en effet toujours contesté avoir conduit le véhicule incriminé dans l'accident, soutenant n'en avoir été que le passager.</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- 15 -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3ème éd., 2011, n. 574).</w:t>
      </w:r>
    </w:p>
    <w:p>
      <w:r>
        <w:rPr>
          <w:b/>
        </w:rPr>
        <w:t>E. 3.2</w:t>
      </w:r>
    </w:p>
    <w:p>
      <w:r>
        <w:t>En l'occurrence, le premier juge a relevé que l'appelant avait toujours contesté avoir conduit le véhicule au moment des faits reprochés, donnant des explications qu'il a qualifiées, à raison, d'aussi fantaisistes que variables (jgt., p. 20), indiquant dans un premier temps que c'était son frère qui conduisait la voiture – alors qu'il est établi qu'il n'a pas de frère - pour revenir ensuite sur ce point en déclarant que c'était un ami dont il ignorait le nom et l'adresse qui était au volant du véhicule. Ces dénégations ont été contredites par les déclarations des trois témoins entendus en cours d'enquête et aux débats de première instance. Le témoin R.________ n'a certes pas été en mesure de certifier que le prévenu était la personne au volant du véhicule lors de l'accident, notamment parce que le conducteur portait une barbe au moment des faits. Tous comme les deux autres témoins entendus en première instance, elle a toutefois confirmé qu'il n'y avait qu'un seul individu dans le véhicule. F.________ a admis qu'il se trouvait dans le véhicule au moment des faits et qu'il en est sorti pour récupérer les pièces perdues lors de l'accident. Le témoin S.________ a notamment confirmé que F.________ portait une</w:t>
      </w:r>
    </w:p>
    <w:p>
      <w:r>
        <w:t>- 16 - barbichette au moment des faits (jgt., p. 21). Les témoignages de D.________, J.________ et X.________ permettent de confirmer la version retenue par le premier juge selon laquelle le prévenu était au volant du véhicule incriminé le 14 mai 2011 (jgt., p. 22). Les développements que l'appelant tente pour soutenir que les déclarations des témoins ne seraient pas probantes ne sont pas pertinents. La cour de céans retient que l'appréciation des témoignages par le premier juge est adéquate, que ces témoignages sont particulièrement probants et que la culpabilité de l'appelant est indiscutable. Ce grief, mal fondé, doit être rejeté. Les faits et les qualifications juridiques retenus par le premier juge doivent être intégralement confirmés.</w:t>
      </w:r>
    </w:p>
    <w:p>
      <w:r>
        <w:rPr>
          <w:b/>
        </w:rPr>
        <w:t>E. 4</w:t>
      </w:r>
    </w:p>
    <w:p>
      <w:r>
        <w:t>F.________ fait encore grief au premier juge de lui avoir infligé une peine privative de liberté ferme de 4,5 mois, qu'il estime trop sévère au vu des faits qui lui sont reprochés. Il y voit un abus du pouvoir d'appréciation dans l'application des art. 42 et 47 CP, soutenant, en particulier, qu'un pronostic favorable peut être posé, en dépit de ses antécédents et compte tenu de son comportement qu'il estime "irréprochable" depuis les faits, ce qui justifierait d'assortir la peine du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- 17 -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4.2</w:t>
      </w:r>
    </w:p>
    <w:p>
      <w:r>
        <w:t>En l'occurrence, le premier juge a retenu que la culpabilité de F.________ est relativement lourde. Il a retenu à charge les antécédents, le concours d'infractions et le fait que l'appelant avait récidivé en cours d'enquête, ce qui démontrait le mépris qu’il avait pour la législation en matière de circulation routière. Il a également relevé le fait que l'intéressé a continué nier l’évidence, soutenant qu’il n’avait pas conduit le 14 mai 2010 (jgt., p. 25). A décharge, la situation personnelle du prévenu au moment des faits ainsi que son trouble mental, entraînant une diminution légère de sa responsabilité, ont été pris en considération. Le premier juge a également relevé la volonté de l'appelant de s’en sortir et le fait qu’il semblait tenter de juguler son problème d’alcool, même si le suivi dont il bénéficie actuellement paraît plus lié aux exigences imposées par</w:t>
      </w:r>
    </w:p>
    <w:p>
      <w:r>
        <w:t>- 18 - l’autorité administrative dans le cadre d’une restitution du permis de conduire que motivé par une réel projet d’abstinence sur le long terme (jgt., pp. 25 et 26). La cour de céans constate que le casier judiciaire de F.________ comporte trois condamnations, notamment à des peines privatives de liberté. Dans chaque cas, il s'agissait d'infractions en matière de circulation routière, dont trois conduites en état d'ébriété. Ces peines n'ont pas empêché l'appelant de récidiver y compris en cours d'enquête et de continuer, en appel, à nier obstinément avoir conduit le véhicule au moment des faits incriminés. Au regard de l'ensemble de ces éléments, la quotité de la peine prononcée, à savoir 4,5 mois, ne relève ni d’un abus ni d’un excès du pouvoir d’appréciation dont jouit l’autorité de première instance, laquelle n’a ignoré aucun des critères déterminants consacrés à l’art. 47 CP, notamment la légère diminution de responsabilité du prévenu telle qu'attestée par les experts. Elle sera donc confirmée. S'agissant du pronostic à poser, si l'appelant semble avoir pris conscience de son addiction et tenter de la maîtriser, on relève que cette évolution n'est cependant pas aussi favorable qu'il le soutient et qu'il continue à nier l'évidence s'agissant du fait qu'il conduisait le véhicule incriminé le 14 mai 2010. F.________ a, en outre, de lourds antécédents en matière d'infraction à la LCR, n'hésitant pas à récidiver en cour d'enquête, soit moins de deux mois après s'être fait retirer son permis pour la troisième fois. Au vu de ce qui précède, le premier juge n'a pas abusé de son pouvoir d'appréciation en posant un pronostic défavorable, excluant ainsi d'assortir la peine du sursis. Ce grief, mal fondé, doit également être rejeté.</w:t>
      </w:r>
    </w:p>
    <w:p>
      <w:r>
        <w:t>- 19 -</w:t>
      </w:r>
    </w:p>
    <w:p>
      <w:r>
        <w:rPr>
          <w:b/>
        </w:rPr>
        <w:t>E. 5</w:t>
      </w:r>
    </w:p>
    <w:p>
      <w:r>
        <w:t>F.________ conteste la nature de la peine prononcée à son encontre.</w:t>
      </w:r>
    </w:p>
    <w:p>
      <w:r>
        <w:rPr>
          <w:b/>
        </w:rPr>
        <w:t>E. 5.1</w:t>
      </w:r>
    </w:p>
    <w:p>
      <w:r>
        <w:t>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(Mazzucchelli, Strafrecht I, 2ème éd., Bâle 2007, n. 11 ad art. 41 CP). Cela résulte du principe de la proportionnalité, mais également de l'intention essentielle, qui était au cœur de la révision de la partie générale du Code pénal en matière de sanction, d'éviter les courtes peines de prison ou d'arrêts, qui font obstacle à la socialisation de l'auteur, et de leur substituer d'autres sanctions (ATF 134 IV 82 c. 4.1; ATF 134 IV 60 c. 4.3).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Si, de jurisprudence constante (notamment ATF 134 IV 60 c. 5), une situation financière précaire, voire même une situation d'indigence, ne constitue pas un motif justifiant le refus d'une peine pécuniaire, des motifs de prévention spéciale permettent de considérer qu'une peine pécuniaire ou qu'un travail d'intérêt général sont inexécutables, en particulier lorsque le prévenu a démontré l'inutilité de telles peines et/ou une volonté de ne pas tenir compte des sanctions prononcées contre lui (TF 6B_128/2011 du 14 juin 2011 c. 3.4).</w:t>
      </w:r>
    </w:p>
    <w:p>
      <w:r>
        <w:t>- 20 -</w:t>
      </w:r>
    </w:p>
    <w:p>
      <w:r>
        <w:rPr>
          <w:b/>
        </w:rPr>
        <w:t>E. 5.2</w:t>
      </w:r>
    </w:p>
    <w:p>
      <w:r>
        <w:t>En l'occurrence, l'appelant a été condamné à quatre reprises pour des infractions à la LCR, dont trois condamnations à des peines privatives de liberté pour conduite en état d'ébriété figurent encore au casier judiciaire. Le premier juge a relevé que ces peines n'ont pas empêché l'appelant de récidiver, y compris en cours d'enquête dans la présente cause. Dans de telles circonstances, et comme on l'a déjà vu plus haut (consid. 4.2), poser un pronostic défavorable, comme l'a fait le premier juge, n'a rien d'abusif ou d'arbitraire. Dès lors que le pronostic est défavorable, la première condition de l'art. 41 al. 1 CP est réalisée. Au surplus, une peine pécuniaire et un travail d'intérêt général doivent être exclus pour des motifs de prévention spéciale s'agissant d'un condamné qui présente une insensibilité à toute forme de sanction et qui doit par conséquent réaliser que ses récidives sont sanctionnées par des peines privatives de liberté. Au vu de ce qui précède, le premier juge était fondé à prononcer une courte peine privative de liberté ferme, les conditions de l'art. 41 al. 1 CP étant réalisées. Le grief, mal fondé, doit être rejeté.</w:t>
      </w:r>
    </w:p>
    <w:p>
      <w:r>
        <w:rPr>
          <w:b/>
        </w:rPr>
        <w:t>E. 6</w:t>
      </w:r>
    </w:p>
    <w:p>
      <w:r>
        <w:t>F.________ paraît enfin reprocher au premier juge d'avoir tardé à fixer l'audience de jugement, invoquant de manière implicite une violation du principe de célérité.</w:t>
      </w:r>
    </w:p>
    <w:p>
      <w:r>
        <w:rPr>
          <w:b/>
        </w:rPr>
        <w:t>E. 6.1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w:t>
      </w:r>
    </w:p>
    <w:p>
      <w:r>
        <w:t>- 21 - célérité des conséquences sur le plan de la peine. Le plus souvent, la violation de ce principe conduira ainsi à une réduction de la peine, parfois même à la renonciation à toute peine ou encore, en tant qu'ultima ratio dans des cas extrêmes, à une ordonnance de non-lieu (TF 6S.66/2005 du 14 avril 2005 c. 3.2 et les références citées). L'autorité viole cette garantie lorsqu'elle ne rend pas une décision qu'il lui incombe de prendre dans le délai prescrit par la loi ou dans le délai que la nature de l'affaire et les circonstances font apparaître comme raisonnable (ATF 135 I 265 c. 4.4; ATF 130 I 312 c. 5.1; TF 1B_219/2011, du 6 juillet 2011, c. 2.1).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Lorsque aucun d'eux n'est d'une durée vraiment choquante, c'est l'appréciation d'ensemble qui prévaut. Des périodes d'activité intense peuvent donc compenser le fait que le dossier a été laissé momentanément de côté en raison d'autres affaires. Si la durée de l’ensemble de la procédure n’apparaît prima facie pas excessive, il peut cependant arriver que le principe de célérité soit violé du fait que l’autorité est restée trop longtemps inactive pendant l’une de ses phases (Summers, in Niggli/Heer/Wiprächtiger (éd.), Basler Kommentar, Schweizerische Strafprozessordnung, Jugendstrafprozessordnung, Bâle 2011, n. 8 ad art. 5 CPP, pp. 69 s.). A cet égard, le Tribunal fédéral n’a pas jugé excessive la durée de dix neuf mois qui a séparé la lecture orale du jugement – dans une affaire de meurtre – d’avec la reddition des motifs écrits (TF 6S.74/2007 du 6 février 2008, c. 3.2).</w:t>
      </w:r>
    </w:p>
    <w:p>
      <w:r>
        <w:t>- 22 -</w:t>
      </w:r>
    </w:p>
    <w:p>
      <w:r>
        <w:rPr>
          <w:b/>
        </w:rPr>
        <w:t>E. 6.2</w:t>
      </w:r>
    </w:p>
    <w:p>
      <w:r>
        <w:t>Dans le cas d'espèce, il ne résulte pas du procès-verbal des opérations que le premier juge aurait fait preuve d'une longue période d'inactivité durant l'une des phases de l'instruction. Les experts ont été désignés le 28 février 2011 et ils ont rendu leur rapport le 29 juillet suivant. L'appelant ne peut faire grief de ce délai, l'expertise ayant été mise en place afin d'établir sa responsabilité au moment des faits reprochés, pour fixer une peine adéquate au vu notamment de sa situation personnelle. Enfin, le 17 août 2011, le tribunal de première instance a fixé les débats au 18 janvier 2012, soit dans un délai de cinq mois. La Cour d'appel pénale est d'avis que cette période n'est pas choquante, au regard de la jurisprudence précitée, au point qu'elle fasse admettre à elle seule une violation du principe de célérité. Ce moyen, mal fondé, ne peut qu'être rejeté.</w:t>
      </w:r>
    </w:p>
    <w:p>
      <w:r>
        <w:rPr>
          <w:b/>
        </w:rPr>
        <w:t>E. 7</w:t>
      </w:r>
    </w:p>
    <w:p>
      <w:r>
        <w:t>En définitive, l'appel, manifestement mal fondé, est rejeté et le jugement de première instance intégralement confirmé. Vu l'issue de la cause, les frais de la procédure d'appel doivent être mis à la charge de F.________ (art. 428 al. 1 CPP). Outre l'émolument, qui se monte à 2'350 fr. (art. 21 al. 1 et 2 TFJP [Tarif des frais judiciaires pénaux du 28 septembre 2010, RSV 312.03.1]), ces frais comprennent l'indemnité allouée au défenseur d'office de l'appelant, par 2'386 fr. 80, TVA et débours inclus (cf. art. 135 al. 2, 422 al. 2 let. a et art. 2 al. 2 ch. 1 TFJP). F.________ ne sera tenu de rembourser à l’Etat le montant alloué à son conseil d'office que lorsque sa situation financière le permettra (art. 135 al. 4 let. a et 426 al. 4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