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PE10.013385 vom 31. August 2012</w:t>
      </w:r>
    </w:p>
    <w:p>
      <w:r>
        <w:t>VD Tribunal cantonal, 2012-08-31, FR</w:t>
      </w:r>
    </w:p>
    <w:p>
      <w:r>
        <w:rPr>
          <w:b/>
        </w:rPr>
        <w:t xml:space="preserve">Quelle: </w:t>
      </w:r>
      <w:r>
        <w:t>https://mcp.opencaselaw.ch/entscheid/vd_gerichte_PE10.013385</w:t>
      </w:r>
    </w:p>
    <w:p>
      <w:r>
        <w:t>FR: VD_GERICHTE PE10.013385 du 31 août 2012</w:t>
      </w:r>
    </w:p>
    <w:p>
      <w:r>
        <w:t>IT: VD_GERICHTE PE10.013385 del 31 agosto 2012</w:t>
      </w:r>
    </w:p>
    <w:p>
      <w:pPr>
        <w:pStyle w:val="Heading2"/>
      </w:pPr>
      <w:r>
        <w:t>Erwägungen</w:t>
      </w:r>
    </w:p>
    <w:p>
      <w:r>
        <w:rPr>
          <w:b/>
        </w:rPr>
        <w:t>E. 4</w:t>
      </w:r>
    </w:p>
    <w:p>
      <w:r>
        <w:t>La condamnation de l'appelant pour actes d'ordre sexuels avec des enfants, tentative d'actes d'ordre sexuels avec des enfants, contrainte sexuelle, contrainte et viol étant confirmée, il appartient encore à la Cour de céans d'examiner la peine infligée en première instance (art. 404 al. 2 CPP), l'appelant ayant conclu subsidiairement à une peine plus clémente.</w:t>
      </w:r>
    </w:p>
    <w:p>
      <w:r>
        <w:rPr>
          <w:b/>
        </w:rPr>
        <w:t>E. 4.1</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consid. 1.1). S'agissant du comportement de l'auteur postérieurement à l'acte, cet élément doit être pris en considération lors de la fixation de la peine, pour autant qu'il permette des déductions sur l'intéressé et son attitude par rapport à ses actes (arrêt 6B_335/2012 du 13 août 2012 c. 1.4.2 et les arrêts cités). b) D'après l'art. 49 al. 2 CP, si le juge doit prononcer une condamnation pour une infraction que l'auteur a commise avant d'avoir été condamné pour une autre infraction, il fixe la peine complémentaire</w:t>
      </w:r>
    </w:p>
    <w:p>
      <w:r>
        <w:t>- 22 - de sorte que l'auteur ne soit pas puni plus sévèrement que si les diverses infractions avaient fait l'objet d'un seul jugement. Le principe d'aggravation ne s'applique toutefois que lorsque plusieurs peines du même genre sont prononcées. Des peines d'un genre différent doivent être infligées de manière cumulative. Le tribunal ne peut ainsi prononcer une peine privative de liberté d'ensemble que s'il aurait prononcé dans le cas concret une peine privative de liberté pour chaque acte pris isolément. Ces conditions s'appliquent aussi pour la formation de la peine complémentaire en cas de concours rétrospectif. Le deuxième juge est lié par la première décision entrée en force en ce qui concerne le genre de la peine. La formation de la peine d'ensemble selon l'art. 49 CP est ainsi régie par le principe de la proportionnalité. Dans le cas du concours rétrospectif, le deuxième juge n'a pas la compétence de modifier le genre de la peine de la première décision entrée en force. En appliquant par analogie ces principes à la procédure selon l'art. 46 al. 1 2ème phrase CP, la modification de la peine est exclue – en particulier au détriment du condamné (ATF 137 IV 249, JT 2012 IV 205 c. 3.4.2 et les références citées).</w:t>
      </w:r>
    </w:p>
    <w:p>
      <w:r>
        <w:rPr>
          <w:b/>
        </w:rPr>
        <w:t>E. 4.2</w:t>
      </w:r>
    </w:p>
    <w:p>
      <w:r>
        <w:t>En l'espèce, la Cour de céans reprend à son compte les éléments à charge et à décharge retenus par les premiers juges, énumérés conformément à l'art. 47 CP, pour conclure que la culpabilité de l'appelant est lourde (jgt., p. 53). La peine privative de liberté de 30 mois est ainsi adéquate et doit être confirmée, étant précisé toutefois que cette peine n'est pas complémentaire à celles prononcées les 20 avril 2009 et 28 avril 2011, qui sont d'un genre différent. Le dispositif du jugement doit dont être rectifié d'office sur ce point. S'agissant de la quotité de l'indemnité pour tort moral allouée à la victime, qui n'a pas été attaquée en elle-même en appel, elle ne prête pas le flanc à la critique et doit être confirmée.</w:t>
      </w:r>
    </w:p>
    <w:p>
      <w:r>
        <w:t>- 23 -</w:t>
      </w:r>
    </w:p>
    <w:p>
      <w:r>
        <w:rPr>
          <w:b/>
        </w:rPr>
        <w:t>E. 5</w:t>
      </w:r>
    </w:p>
    <w:p>
      <w:r>
        <w:t>En définitive, l'appel de J.________ est rejeté, le jugement rendu le 31 août 2012 par le Tribunal correctionnel de l'arrondissement de La Côte étant confirmé.</w:t>
      </w:r>
    </w:p>
    <w:p>
      <w:r>
        <w:rPr>
          <w:b/>
        </w:rPr>
        <w:t>E. 6</w:t>
      </w:r>
    </w:p>
    <w:p>
      <w:r>
        <w:t>Vu l'issue de la cause, les frais d'appel doivent être mis à la charge de J.________ (art. 428 al. 1 CPP). Outre l'émolument, qui se monte à 2'130 fr. (art. 21 al. 1 et 2 TFJP [Tarif des frais judiciaires pénaux du 28 septembre 2010, RSV 312.03.1]), ces frais comprennent l’indemnité allouée à son défenseur d’office.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Le défenseur d'office de l'appelant a produit une liste d'opérations effectuées en deuxième instance, soit du 3 septembre 2012 au jour de l'audience d'appel, pour un total de 43 heures et 10 minutes. Ce total est manifestement exagéré, dès lors qu'il était déjà conseil en première instance et que tous les arguments soulevés en appel ont déjà été plaidés en première instance. Au vu de la complexité de la cause, des opérations mentionnées dans la note d'honoraires et de la procédure d'appel, il convient d'admettre que le défenseur d'office de l'appelant a dû consacrer 15 heures à l'exécution de son mandat. Un montant forfaitaire de 120 fr., doit en outre être alloué à titre de remboursement des frais de déplacements (arrêt CREP 151/2013 du 25 février 2013, consid. 3 et les références citées). L'indemnité sera dès lors arrêtée à 3'099 fr. 60, TVA et débours inclus (cf. art. 135 al. 1 CPP).</w:t>
      </w:r>
    </w:p>
    <w:p>
      <w:r>
        <w:t>- 24 - J.________ ne sera tenu de rembourser à l’Etat le montant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