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PE10.013247 vom 11. Dezember 2015</w:t>
      </w:r>
    </w:p>
    <w:p>
      <w:r>
        <w:t>VD Tribunal cantonal, 2015-12-11, FR</w:t>
      </w:r>
    </w:p>
    <w:p>
      <w:r>
        <w:rPr>
          <w:b/>
        </w:rPr>
        <w:t xml:space="preserve">Quelle: </w:t>
      </w:r>
      <w:r>
        <w:t>https://mcp.opencaselaw.ch/entscheid/vd_gerichte_PE10.013247</w:t>
      </w:r>
    </w:p>
    <w:p>
      <w:r>
        <w:t>FR: VD_GERICHTE PE10.013247 du 11 décembre 2015</w:t>
      </w:r>
    </w:p>
    <w:p>
      <w:r>
        <w:t>IT: VD_GERICHTE PE10.013247 del 11 dicembre 2015</w:t>
      </w:r>
    </w:p>
    <w:p>
      <w:pPr>
        <w:pStyle w:val="Heading2"/>
      </w:pPr>
      <w:r>
        <w:t>Erwägungen</w:t>
      </w:r>
    </w:p>
    <w:p>
      <w:r>
        <w:rPr>
          <w:b/>
        </w:rPr>
        <w:t>E. 1</w:t>
      </w:r>
    </w:p>
    <w:p>
      <w:r>
        <w:t>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Niggli/Heer/Wiprächtiger [éd.], Basler Kommentar, Schweizerische Strafprozessordnung, Jugendstrafprozessordnung, Art. 196-457 StPO – Art. 1-54 JStPO, 2e éd., Bâle 2014, n. 16 ad art. 368 CPP; TF 6B_801/2013 du 17 décembre 2013 consid. 1.1; CREP 26 août 2015/569; CREP 18 août 2014/557).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en temps utile devant l’autorité compétente par le prévenu qui a qualité pour recourir (art. 382 al. 1 CPP)</w:t>
      </w:r>
    </w:p>
    <w:p>
      <w:r>
        <w:t>- 4 - et dans les formes prescrites (art. 385 al. 1 CPP), bien que dépourvu de conclusions explicites, le recours est recevable.</w:t>
      </w:r>
    </w:p>
    <w:p>
      <w:r>
        <w:rPr>
          <w:b/>
        </w:rPr>
        <w:t>E. 2.1</w:t>
      </w:r>
    </w:p>
    <w:p>
      <w:r>
        <w:t>Le recourant conteste implicitement avoir fait défaut aux débats sans excuse valable, au sens de l’art. 368 al. 3 CPP.</w:t>
      </w:r>
    </w:p>
    <w:p>
      <w:r>
        <w:rPr>
          <w:b/>
        </w:rPr>
        <w:t>E. 2.2</w:t>
      </w:r>
    </w:p>
    <w:p>
      <w:r>
        <w:t>Les autorités pénales notifient leurs prononcés par lettre signature ou par tout autre mode de communication impliquant un accusé de réception, notamment par l'entremise de la police (art. 85 al. 2 CPP).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in : Niggli/Heer/Wiprächtiger [éd.], op. cit., n. 2 ad art. 369 CPP et</w:t>
      </w:r>
    </w:p>
    <w:p>
      <w:r>
        <w:t>- 5 - la référence citée; Thalmann, in : Kuhn/Jeanneret [éd.], op. cit., n. 4 ad art. 369 CPP; CREP 11 mars 2014/184 consid. 2.1; CREP 5 juillet 2013/388 consid. 2b, CREP 6 mai 2011/138 consid. 2c et CREP 12 avril 2011/97 consid. 2c). En tous les cas, la décision par laquelle le tribunal rejette la demande de nouveau jugement peut être attaquée par la voie du recours selon les art. 393 ss CPP (cf. consid. 1 supra). La loi n’énumère pas les cas dans lesquels l’excuse du condamné absent est « valable » (art. 368 al. 3 CPP). A titre d’exemples d’absence fautive, le Message du Conseil fédéral mentionne le cas du prévenu emprisonné qui avait refusé d’être conduit aux débats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spéc.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consid. 3a; ATF 126 I 36 consid. 1b; TF 1P.829/2005 du 1er mai 2006, in: SJ 2006 I 450, consid.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(CREP 27 septembre 2013/566 consid. 3d; Thalmann, in : Kuhn/ Jeanneret [éd.], op. cit., n. 20 ad art. 368 CPP et les arrêts cités).</w:t>
      </w:r>
    </w:p>
    <w:p>
      <w:r>
        <w:rPr>
          <w:b/>
        </w:rPr>
        <w:t>E. 2.3</w:t>
      </w:r>
    </w:p>
    <w:p>
      <w:r>
        <w:t>En l’espèce, il doit être relevé préalablement à toute autre considération que les envois directement effectués à l’adresse française du prévenu satisfont aux exigences posées par l’art. 85 al. 2 CPP. Partant, le recourant a dûment été cité aux débats au sens de l’art. 368 al. 3 CPP par les communications écrites directement adressés en France, son lieu</w:t>
      </w:r>
    </w:p>
    <w:p>
      <w:r>
        <w:t>- 6 - de résidence grenoblois étant incontesté. En effet,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w:t>
      </w:r>
    </w:p>
    <w:p>
      <w:r>
        <w:rPr>
          <w:b/>
        </w:rPr>
        <w:t>E. 2.4</w:t>
      </w:r>
    </w:p>
    <w:p>
      <w:r>
        <w:t>Cela étant, la question à trancher est celle de savoir si le recourant peut exciper d’une excuse valable justifiant son défaut aux débats du 4 avril 2011. Se sachant partie à une procédure pénale, il lui aurait été loisible, dès la réception de la citation qui lui avait été adressée sous pli simple, de demander un sauf-conduit (art. 204 CPP) pour comparaître. Le moyen selon lequel il était alors interdit de séjour en Suisse n’est dès lors pas pertinent. Par adoption des motifs du premier juge, force est ainsi de considérer que le recourant ne pouvait se réclamer d’un cas de force majeure ni d’une impossibilité subjective pour faire défaut aux débats. Il faut en déduire qu’il s’est fautivement soustrait à l’audience. C’est par conséquent à juste titre que sa demande de nouveau jugement a été rejetée, conformément à l’art. 368 al. 3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Le prononcé du 27 novembre 2015 est confirmé. III. Les frais d’arrêt, par 660 fr. (six cent soixante francs), sont mis à la charge d’B.________. IV. Le présent arrêt est exécutoire. Le président : Le greffier : Du Le présent arrêt, dont la rédaction a été approuvée à huis clos, est notifié, par l'envoi d'une copie complète, à : - M. B.________, - Ministère public central, et communiqué à : - M. le Président du Tribunal de police de l’arrondissement de Lausanne, - M. le Surveillant-chef de la zone carcérale de la Blécherette,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