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PE10.013174 vom 8. Dezember 2015</w:t>
      </w:r>
    </w:p>
    <w:p>
      <w:r>
        <w:t>VD Tribunal cantonal, 2015-12-08, FR</w:t>
      </w:r>
    </w:p>
    <w:p>
      <w:r>
        <w:rPr>
          <w:b/>
        </w:rPr>
        <w:t xml:space="preserve">Quelle: </w:t>
      </w:r>
      <w:r>
        <w:t>https://mcp.opencaselaw.ch/entscheid/vd_gerichte_PE10.013174</w:t>
      </w:r>
    </w:p>
    <w:p>
      <w:r>
        <w:t>FR: VD_GERICHTE PE10.013174 du 8 décembre 2015</w:t>
      </w:r>
    </w:p>
    <w:p>
      <w:r>
        <w:t>IT: VD_GERICHTE PE10.013174 del 8 dicembre 2015</w:t>
      </w:r>
    </w:p>
    <w:p>
      <w:pPr>
        <w:pStyle w:val="Heading2"/>
      </w:pPr>
      <w:r>
        <w:t>Erwägungen</w:t>
      </w:r>
    </w:p>
    <w:p>
      <w:r>
        <w:rPr>
          <w:b/>
        </w:rPr>
        <w:t>E. 4</w:t>
      </w:r>
    </w:p>
    <w:p>
      <w:r>
        <w:t>Afin de tenir compte de la libération d’O.________ du chef de prévention de faux dans les titres, il y a lieu de fixer une nouvelle peine.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- 22 -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5.1.2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5.2 En l'espèce, la première juge a énuméré de manière circonstanciée tous les éléments à charge et à décharge et il y a lieu de renvoyer à sa motivation (art. 82 al. 4 CPP). L'abandon d'un chef d'accusation conduit à prononcer une peine de 240 jours-amende, qui tient compte en particulier d'une part du fait que la prévenue a profité de sa fonction pour s'octroyer des prestations auxquelles elle n'avait pas droit, et d'autre part, du fait qu'elle traversait une période très difficile. La quotité de 30 fr. du jour-amende est adéquate. Enfin, la prévenue remplit à l'évidence les conditions du sursis. II. Appel de T.________ SA 1. 1.1 T.________ SA estime que la première juge aurait dû lui allouer à titre de conclusions civiles les montants suivants :</w:t>
      </w:r>
    </w:p>
    <w:p>
      <w:r>
        <w:t>- 23 - - 78'121 fr. 35, avec intérêts à 5% l’an dès le 1er mars 2009 correspondant à l’excès de salaires que la prévenue se serait versé de 2007 à 2010 ; - 14'748 fr. 50 correspondant au montant versé par T.________ SA à titre de remboursant à l’assureur Q.________ ensuite du décompte final établi par ce dernier concernant les indemnités journalières pour maladie d’O.________ ; - 15'000 fr. correspondant à la somme que la prévenue aurait prélevé sur les comptes de la plaignante le 10 février 2009 à titre de « solde salaire 2008 ». 1.2 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 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 1.3 S’agissant des 78'121 fr. 35 réclamés par la plaignante, on constate que celle-ci a chiffré son préjudice à trois reprises, concluant d’abord à un montant de 114'415 fr., puis à un montant de 78'944 fr. 05 voire 74'401 fr. 38, et l’a enfin arrêté à 78'121 fr. 35. La prévenue conteste ces montants et affirme que c’est la partie plaignante qui lui doit une somme d’argent. Il ressort aussi du dossier de la cause que la prévenue a connu des taux d'activité variables d'avril 2008 à son</w:t>
      </w:r>
    </w:p>
    <w:p>
      <w:r>
        <w:t>- 24 - licenciement en avril 2010, de sorte qu'il s'agit, pour chaque période, de calculer le montant dû par T.________ SA et celui dû par Q.________ et qui correspond au 80 % de son droit au salaire. La prévenue n'a jamais cessé de travailler alors même qu'elle était en incapacité totale de travail, et on peine à comprendre pour quel motif elle n'aurait alors droit qu'au versement des indemnités journalières correspondant à 80 % de son salaire si elle continuait malgré tout à assumer des tâches pour son employeur. Ensuite, chaque partie avance une méthode et des chiffres différents pour évaluer le rendement brut et il n’existe aucune pièce au dossier permettant de déterminer le montant exact de celui-ci. On ne saurait d’ailleurs sans autre tenir compte des chiffres avancés par la plaignante. La prévenue fait en particulier valoir en compensation des prétentions découlant de son contrat de travail et des indemnités de piquet. A défaut d'instruction ayant porté spécifiquement sur ce point, on ne saurait exclure ces prétentions à un degré de preuve suffisant. Enfin, la prévenue formule d'autres prétentions liées au contrat de travail, soit le droit à des vacances non prises depuis 2005, sur lesquelles on ne saurait à l'évidence entrer en matière. Ainsi, s'il est certain que la plaignante a subi un dommage à tout le moins temporaire, il n'est pas possible pour le juge pénal de déterminer l'étendue exacte de celui-ci. Le montant de 14'748 fr. 50 correspond à ce qu’Q.________ a payé en trop à l’Hôtel [...] pour l’incapacité de la prévenue. Sommée par Q.________ le 31 mai 2010, la plaignante a remboursé cette somme. Dans la mesure où O.________ a été condamnée pour escroquerie et qu'elle a perçu indûment des prestations journalières sur la base des avis d'incapacité qu'elle a produit, il convient d’allouer la somme de 14'748 fr. 50 à T.________ SA à titre de dommages et intérêts à charge de la prévenue. Enfin, il ne ressort pas clairement du dossier à quoi correspond la somme de 15'000 fr. réclamée par la partie plaignante. L'appelante est donc également renvoyée à agir par la voie civile pour cette prétention.</w:t>
      </w:r>
    </w:p>
    <w:p>
      <w:r>
        <w:t>- 25 - IV. Il résulte de ce qui précède que les appels d’O.________ et de T.________ SA doivent être partiellement admis. Vu l’issue de la cause, les frais d'appel, constitués de l'émolument de jugement (art. 21 al. 1 et 2 TFIP [Tarif des frais de procédure et indemnités en matière pénale du 28 septembre 2010 ; RSV 312.03.1]), par 2'790 fr., seront mis par un tiers, à la charge d’O.________, par un tiers à la charge de T.________ SA et le solde, par un tiers, laissé à la charge de l’Etat. T.________ SA a conclu, lors de l’audience d’appel à une indemnité de 4'500 fr. pour les dépenses obligatoires occasionnées par la procédure d’appel au sens de l’art. 433 CPP. Par télécopie transmise au greffe du Tribunal cantonal après l’audience d’appel (P. 96), elle a conclu à indemnité de 5’169 fr. 20. Dans la mesure où la prévenue n’a pas eu l’occasion de se déterminer sur ce montant, mais uniquement sur la conclusion prise en audience, la Cour de céans statuera sur la base du premier montant requis, soit 4'500 francs. Partant, T.________ SA n’ayant obtenu que très partiellement gain de cause, l’indemnité de 4'500 fr. sera réduite dans la même proportion que les frais de justice à la charge de la plaignante, soit par un tiers. En définitive, il lui sera alloué une indemnité de 1'500 fr., TVA et débours compris. O.________ a conclu à une indemnité, d’un montant fixé à dire de justice, pour les dépenses occasionnées par l’exercice raisonnable de ses droits de procédure au sens de l’art. 429 CPP. La prévenue a été libérée d’un seul chef d’accusation alors qu’elle avait conclu à l’acquittement total. Pour cette raison, il lui sera alloué une indemnité fixée à 3'000 fr., mais réduite dans la même proportion que les frais de justice mis à sa charge, soit par un tiers. En définitive, il lui sera alloué une indemnité de 1'000 fr., TVA et débours compris. Par ailleurs, selon l’art. 442 al. 4 CPP, les autorités pénales peuvent compenser les créances portant sur des frais de procédure avec les indemnités accordées à la partie débitrice dans la même procédure pénale (ATF 139 IV 243 consid. 5). En application de la disposition précitée, il convient d’effectuer une</w:t>
      </w:r>
    </w:p>
    <w:p>
      <w:r>
        <w:t>- 26 - compensation entre l’indemnité allouée à O.________ selon l’art. 429 CPP en deuxième instance et la part des frais d’appel mis à sa charge.</w:t>
      </w:r>
    </w:p>
    <w:p>
      <w:r>
        <w:rPr>
          <w:b/>
        </w:rPr>
        <w:t>E. 4.1</w:t>
      </w:r>
    </w:p>
    <w:p>
      <w:r>
        <w:t>Aux termes de l'art. 158 CP, celui qui, en vertu de la loi, d'un mandat officiel ou d'un acte juridique, est tenu de gérer les intérêts pécuniaires d'autrui ou de veiller sur leur gestion et qui, en violation de</w:t>
      </w:r>
    </w:p>
    <w:p>
      <w:r>
        <w:t>- 19 -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 Le devoir de gestion implique un pouvoir sur les biens d'autrui comportant une indépendance suffisante, un droit de disposition autonome, une certaine latitude qui caractérise le devoir de fidélité dont la violation est punissable (ATF 123 IV 17 consid. 3b p. 21). Enfin, l'infraction de gestion déloyale n'est consommée que s'il y a eu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(ATF 121 IV 104 consid. 2c p. 107).</w:t>
      </w:r>
    </w:p>
    <w:p>
      <w:r>
        <w:rPr>
          <w:b/>
        </w:rPr>
        <w:t>E. 4.2</w:t>
      </w:r>
    </w:p>
    <w:p>
      <w:r>
        <w:t>En l'espèce, la prévenue était chargée de la gestion de l'Hôtel [...] et elle bénéficiait d'une très grande autonomie dans son activité. Dans le cadre de ses obligations, il lui incombait en particulier d’établir les fiches de salaires des employés et ses propres fiches de salaire. Au vu de ses responsabilités, on attendait d’elle qu’elle remplisse cette tâche avec diligence, ce qu'elle n'a clairement pas fait en déclarant notamment des salaires plus élevés à Q.________. S’agissant du dommage, il y a lieu de constater en premier lieu que la prévenue a perçu, pendant toute la période litigieuse, des salaires plus élevés que ceux auxquels elle avait droit. En effet, conformément à la CCNT applicable, T.________ SA n’était tenu d’assurer que 80% du salaire de la prévenue durant son incapacité de travail. La prévenue n’avait donc</w:t>
      </w:r>
    </w:p>
    <w:p>
      <w:r>
        <w:t>- 20 - aucune raison de se verser un salaire équivalent à un 100%. En deuxième lieu, même si la prévenue avait pu prétendre à un salaire complet, les sommes qu’elle s’est versées durant la période d’incapacité sont excessives. A cet égard, on relève qu’en 2006, la prévenue a perçu un salaire annuel brut de 123'284 fr. et en 2007, un salaire brut de 135'763 fr. 50. Pourtant, une fois malade, la prévenue a perçu pour 2008, un salaire annuel brut de 163'505 fr. 50 et pour 2009, un salaire annuel brut de 164'989 fr. 80, soit des montants largement supérieurs à ce qu’elle a rerçu les années précédentes. La prévenue a expliqué cette hausse par la variation des indemnités de participation au rendement brut de l’hôtel qui composent son salaire. Il ressort pourtant du dossier que tant la partie plaignante que la prévenue parviennent à des chiffres similaires lors du calcul de ces indemnités, soit pour l’année 2008, 49'378 fr. pour la plaignante et 53'910 fr. selon la prévenue, pour l’année 2009, 33'786 pour la partie plaignante et 39’560 fr. pour la prévenue, enfin pour l’année 2010, 48'923 fr. pour la partie plaignante et 40'000 fr. pour la prévenue. Or, malgré ces similitudes, la prévenue s’est versée un salaire brut de 352’710 fr. 30 pendant toute la période litigieuse alors que la partie plaignante a estimé qu’elle n’aurait dû percevoir que 252'978 fr. 25. Il existe donc une différence de près de 100'000 fr. qui n’est pas justifiée par les pièces au dossier. Par ailleurs, O.________ allègue que la partie plaignante n’aurait subi aucun dommage dans la mesure où cette dernière lui doit encore de l’argent à titre d’indemnités pour soldes de vacances depuis 2005 et d’obligations dont elle ne serait pas affranchie pour 2010. Ainsi, elle a réclamé pour la première fois dans le formulaire rempli le 16 mars 2010, soit un jour après son licenciement, une indemnité de piquet de 54'470 fr. pour 2008, de 49'080 fr. pour 2009 et estimée à 49'170 pour 2010, elle a encore fait valoir qu'elle aurait droit à une indemnité pour vacances dans la mesure où depuis 2005 elle ne les a prises que partiellement. On constate en premier lieu que la prévenue tente de justifier, avec des prétentions postérieures à son licenciement et fondées sur son contrat de travail, le montant des salaires qu’elle a perçus entre 2008 et 2010, ce qui n’est pas admissible. En outre, le contrat de travail la liant à la plaignante,</w:t>
      </w:r>
    </w:p>
    <w:p>
      <w:r>
        <w:t>- 21 - ni d'ailleurs aucune pièce au dossier, ne prévoient le versement d'indemnités de piquet. En outre, la prétention en versement d'indemnités pour le solde de vacances depuis 2005, intervient très tardivement et ne repose sur aucune pièce. Enfin, même si son employeur lui devait une telle indemnité, O.________ n’était quoi qu'il en soit pas autorisée à modifier de manière unilatérale la façon de calculer son salaire. Il s'ensuit que l'appelante a créé un dommage à la plaignante. Enfin, même si on peut admettre que la prévenue a commis une erreur lorsqu’elle a rempli le formulaire d’avis d’incapacité de travail en 2008 et annoncé un droit à des indemnités pour vacances, il est impossible qu’elle ne se soit pas aperçue dans que les revenus qu’elle se versait étaient trop élevés par rapport aux revenus perçus avant sa maladie. A nouveau, le fait qu’elle ait voulu finaliser les décomptes avec Q.________ en mars 2010 n’y change rien. Partant, l’élément subjectif de l’infraction est réalisé. L’appel d’O.________ doit donc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