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PE10.010007 vom 10. Januar 2013</w:t>
      </w:r>
    </w:p>
    <w:p>
      <w:r>
        <w:t>VD Tribunal cantonal, 2013-01-10, FR</w:t>
      </w:r>
    </w:p>
    <w:p>
      <w:r>
        <w:rPr>
          <w:b/>
        </w:rPr>
        <w:t xml:space="preserve">Quelle: </w:t>
      </w:r>
      <w:r>
        <w:t>https://mcp.opencaselaw.ch/entscheid/vd_gerichte_PE10.010007</w:t>
      </w:r>
    </w:p>
    <w:p>
      <w:r>
        <w:t>FR: VD_GERICHTE PE10.010007 du 10 janvier 2013</w:t>
      </w:r>
    </w:p>
    <w:p>
      <w:r>
        <w:t>IT: VD_GERICHTE PE10.010007 del 10 gennaio 2013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Vu l'issue de la cause, les frais de la procédure d'appel doivent être laissés à la charge de l’Etat (art. 428 al. 1, 1ère phrase, CPP). Outre l'émolument, les frais d’appel comprennent l’indemnité allouée au défenseur d’office du prévenu, pour les opérations liées à la procédure d'appel (cf. les art. 135 al. 2 et 422 al. 2 let. a CPP; art. 2 al. 2 ch. 1 TFJP). Vu l'ampleur et la complexité de la cause en appel, l'indemnité allouée au défenseur d'office du prévenu doit être fixée sur la base d'une durée d'activité de deux heures d’avocat breveté, à 180 fr. l'heure, plus une unité de vacation, par 120 fr. (art. 135 al. 1 CPP), TVA en plus, à hauteur de 518 fr. 40</w:t>
      </w:r>
    </w:p>
    <w:p>
      <w:r>
        <w:t>- 15 - Cette indemnité est complémentaire à celle de 907 fr. 20, TVA et débours compris, allouée par l’arrêt de la Cour d’appel pénale du 23 avril 2013.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