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PE10.008477 vom 23. August 2011</w:t>
      </w:r>
    </w:p>
    <w:p>
      <w:r>
        <w:t>VD Tribunal cantonal, 2011-08-23, FR</w:t>
      </w:r>
    </w:p>
    <w:p>
      <w:r>
        <w:rPr>
          <w:b/>
        </w:rPr>
        <w:t xml:space="preserve">Quelle: </w:t>
      </w:r>
      <w:r>
        <w:t>https://mcp.opencaselaw.ch/entscheid/vd_gerichte_PE10.008477</w:t>
      </w:r>
    </w:p>
    <w:p>
      <w:r>
        <w:t>FR: VD_GERICHTE PE10.008477 du 23 août 2011</w:t>
      </w:r>
    </w:p>
    <w:p>
      <w:r>
        <w:t>IT: VD_GERICHTE PE10.008477 del 23 agosto 2011</w:t>
      </w:r>
    </w:p>
    <w:p>
      <w:pPr>
        <w:pStyle w:val="Heading2"/>
      </w:pPr>
      <w:r>
        <w:t>Erwägungen</w:t>
      </w:r>
    </w:p>
    <w:p>
      <w:r>
        <w:rPr>
          <w:b/>
        </w:rPr>
        <w:t>E. 1</w:t>
      </w:r>
    </w:p>
    <w:p>
      <w:r>
        <w:t>V.________ est né le [...] au Kosovo, pays dont il est ressortissant. Il a été élevé par ses parents dans son pays jusqu'en 2007. Au mois d'octobre de cette même année, sa famille et lui-même sont venus s'installer en Suisse afin de fuir le Kosovo où des persécutions pesaient sur eux. Après avoir été intégré dans des classes d'accueil post- obligatoires de l'OPTI d'avril 2008 à juin 2009, faute de permis de séjour, le prévenu n'a pas pu commencer un apprentissage. Durant une période de quinze mois, il n'a exercé aucune activité. Après l'octroi d'un permis provisoire pour l'ensemble de la famille en octobre 2010, l'intéressé a trouvé un apprentissage de peintre en bâtiment à Montreux qu'il a débuté le 15 août 2011. Le casier judiciaire suisse du prévenu est vierge.</w:t>
      </w:r>
    </w:p>
    <w:p>
      <w:r>
        <w:t>- 12 -</w:t>
      </w:r>
    </w:p>
    <w:p>
      <w:r>
        <w:rPr>
          <w:b/>
        </w:rPr>
        <w:t>E. 2</w:t>
      </w:r>
    </w:p>
    <w:p>
      <w:r>
        <w:t>Selon l'art. 399 al. 1 CPP, l'appel doit être annoncé dans les dix jours qui suivent la communication du jugement, soit la remise ou la notification du dispositif écrit (Kistler Vianin, in: Commentaire romand, Code de procédure pénale suisse, Bâle 2011, n. 3 ad art. 399 CPP). La déclaration d'appel doit, quant à elle, être déposée dans les vingt jours à compter de la notification du jugement motivé (art. 399 al. 3 CPP).</w:t>
      </w:r>
    </w:p>
    <w:p>
      <w:r>
        <w:t>- 14 - En l'occurrence, interjeté dans les formes et délais légaux contre un jugement d'un tribunal de première instance ayant clos la procédure (art. 398 al. 1 CPP), l'appel est recevable. Il y a donc lieu d'entrer en matière sur le fond.</w:t>
      </w:r>
    </w:p>
    <w:p>
      <w:r>
        <w:rPr>
          <w:b/>
        </w:rPr>
        <w:t>E. 3</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4</w:t>
      </w:r>
    </w:p>
    <w:p>
      <w:r>
        <w:t>L'appelant conteste uniquement la quotité de la peine et demande principalement que la peine qui lui a été infligée soit plus clémente et assortie d'un sursis total. Subsidiairement, il requiert une peine identique intégralement assortie du sursis. Lors de l'audience devant la Cour du céans, l'appelant a soutenu qu'une peine plus clémente, voire identique, mais dans tous les cas assortie d'un sursis complet, s'imposait dans le cas particulier du fait qu'il avait reconnu les fait, qu'il avait indemnisé le plaignant et compte tenu des rapports du directeur de W.________ et du Dr G.________ qui n'avaient pas été assez pris en compte par le premier juge dans l'examen de la quotité de la peine.</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- 15 - Les critères énumérés de manière non exhaustive par l'art. 47 CP correspondent à ceux fixés par l'art. 63 aCP et la jurisprudence élaborée en application de cette disposition, qui conserve toute sa valeur. Ainsi,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6B_722/2010 du 17 février 2011 c. 1.2.1 et 1.2.2; ATF 134 IV 17 c. 2.1 ; ATF 129 IV 6 c. 6.1).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(TF 6B_327/2011 du 7 juillet 2011 c. 2.1; ATF 134 IV 17 c. 2.1).</w:t>
      </w:r>
    </w:p>
    <w:p>
      <w:r>
        <w:rPr>
          <w:b/>
        </w:rPr>
        <w:t>E. 4.2.1</w:t>
      </w:r>
    </w:p>
    <w:p>
      <w:r>
        <w:t>En matière de sursis, l'art. 42 al. 1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Aux termes de l'art. 43 CP, le juge peut suspendre partiellement l'exécution d'une peine pécuniaire, d'un travail d'intérêt</w:t>
      </w:r>
    </w:p>
    <w:p>
      <w:r>
        <w:t>- 16 - général ou d'une peine privative de liberté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Les règles d'octroi de la libération conditionnelle (art. 86 CP) ne lui sont pas applicables (al. 3).</w:t>
      </w:r>
    </w:p>
    <w:p>
      <w:r>
        <w:rPr>
          <w:b/>
        </w:rPr>
        <w:t>E. 4.2.2</w:t>
      </w:r>
    </w:p>
    <w:p>
      <w:r>
        <w:t>Lorsque la peine privative de liberté est d'une durée telle qu'elle permette le choix entre le sursis complet (art. 42 CP) et le sursis partiel (art. 43 CP), soit entre un et deux ans au plus, l'octroi du sursis au sens de l'art. 42 CP est la règle et le sursis partiel l'exception (TF 6B_769/2009 du 19 avril 2010 c. 1.2). Cette dernière ne doit être admise que si, sous l'angle de la prévention spéciale, l'octroi du sursis pour une partie de la peine ne peut se concevoir que moyennant exécution de l'autre partie. La situation est similaire à celle de l'examen des perspectives d'amendement en cas de révocation du sursis (ATF 135 IV 152 c. 3.1.1 non publié; ATF 116 IV 97). Le juge accordera le sursis partiel au lieu du sursis total lorsqu'il existe - notamment en raison de condamnations antérieures - de sérieux doutes sur les perspectives d'amendement de l'auteur, qui ne justifient cependant pas encore, à l'issue de l'appréciation de l'ensemble des circonstances, un pronostic concrètement défavorable (TF 6B_769/2009 du 19 avril 2010 c. 1.2). On évite de la sorte, dans les cas de pronostics très incertains, le dilemme du « tout ou rien ». L'art. 43 CP permet alors que l'effet d'avertissement du sursis partiel autorise, compte tenu de l'exécution partielle ordonnée simultanément, un pronostic largement plus favorable pour l'avenir (ATF 135 IV 152 c. 3.1.1 non publié; ATF 134 IV 1 c. 5.5.2). Toutefois, l'exécution partielle de la peine privative de liberté doit être indispensable pour l'amélioration des perspectives d'amendement, ce qui n'est pas le cas si l'octroi du sursis combiné avec une peine pécuniaire ou une amende (art. 42 al. 4 CP) s'avère suffisant sous l'aspect de la prévention spéciale. Le juge est tenu d'examiner cette possibilité préalablement (ATF 134 IV 53 c. 4.5.1).</w:t>
      </w:r>
    </w:p>
    <w:p>
      <w:r>
        <w:t>- 17 -</w:t>
      </w:r>
    </w:p>
    <w:p>
      <w:r>
        <w:rPr>
          <w:b/>
        </w:rPr>
        <w:t>E. 4.2.3</w:t>
      </w:r>
    </w:p>
    <w:p>
      <w:r>
        <w:t>Dans le cas des peines privatives de liberté qui excèdent la limite fixée pour l'octroi du sursis complet (soit entre deux et trois ans), l'art. 43 CP s'applique de manière autonome. En effet exclu dans ces cas (art. 42 al. 1 CP), le sursis complet est alors remplacé par le sursis partiel pour autant que les conditions subjectives en soient remplies. Le but de la prévention spéciale trouve alors ses limites dans les exigences de la loi qui prévoit dans ces cas qu'une partie au moins de la peine doit être exécutée en raison de la gravité de la faute commise. C'est là que se trouve le champ d'application principal de l'art. 43 CP (ATF 134 IV 1 c. 5.5.1).</w:t>
      </w:r>
    </w:p>
    <w:p>
      <w:r>
        <w:rPr>
          <w:b/>
        </w:rPr>
        <w:t>E. 4.3</w:t>
      </w:r>
    </w:p>
    <w:p>
      <w:r>
        <w:t>En l'espèce, les premiers juges ont considéré que la culpabilité de V.________ était extrêmement lourde. Ils ont retenu à charge la gravité des infractions qui lui étaient reprochées, le mobile futile ainsi que l'absence d'aveux francs et de prise de conscience de la gravité de ses actes. A décharge, ils ont pris en compte la situation difficile de la famille du prévenu qui a été victime de violences au Kosovo, le jeune âge de celui-ci, le fait que la troisième infraction était restée au stade de la tentative et le dédommagement du prévenu qui a rendu 2'000 fr. lors de l'audience au plaignant et s'est engagé à lui verser 3'500 fr. à titre d'indemnité pour tort moral ainsi que sa resocialisation. Le Tribunal de première instance a considéré qu'une peine privative de liberté de trois ans, assortie d'un sursis partiel de 30 mois pendant 4 ans, était adéquate.</w:t>
      </w:r>
    </w:p>
    <w:p>
      <w:r>
        <w:rPr>
          <w:b/>
        </w:rPr>
        <w:t>E. 4.3.1</w:t>
      </w:r>
    </w:p>
    <w:p>
      <w:r>
        <w:t>S'agissant des éléments à charge, il convient de retenir, comme l'ont fait les premiers juges, que la culpabilité de V.________ est très lourde. En effet, il résulte des faits que le prévenu a menacé le plaignant d'un dommage sérieux à plusieurs reprises afin qu'il lui remette des sommes d'argent puis a utilisé la violence physique le 13 avril 2010. Il a asséné des gifles puis donné un coup de boule au plaignant avant de mettre un couteau sous la gorge de ce dernier le mettant ainsi en danger de mort. Il convient donc de tenir compte de la violence et de la répétition des actes commis par le prévenu.</w:t>
      </w:r>
    </w:p>
    <w:p>
      <w:r>
        <w:t>- 18 - Par ailleurs, le mobile de l'auteur est futile et crapuleux et doit être considéré comme un critère à charge ainsi que l'ont retenu les premiers juges. En effet, le prévenu a prétexté faussement que son amie était enceinte du plaignant à la suite de leur relation passée et qu'elle avait besoin d'argent pour avorter. Il a prétendu qu'il avait dû avancer les frais de l'avortement en empruntant de l'argent à une bande albanaise. Aux débats de première instance, il a persisté à donner cette version des faits alors que son comparse C.________ a clairement confirmé que l'avortement était un faux prétexte pour obtenir de l'argent du plaignant. En réalité, il ressort de l'enquête que l'argent extorqué, pour le premier versement de 1'000 fr., avait servi à acheter un ordinateur que le prévenu avait ramené au domicile familial. Le comportement de V.________ lors de la procédure doit également être pris en considération. Ce dernier n'a pas démontré de prise de conscience de la gravité de ses actes et a tenté de minimiser les infractions commises, lors des débats de première instance ainsi que devant la Cour de céans puisqu'il a confirmé les déclarations faites devant le Tribunal de première instance. En effet, il a prétendu qu'il n'avait pas placé la lame sous la gorge du plaignant. Cette version des faits est en totale contradiction avec ses propres déclarations faites devant la police en date du 16 avril 2010, ainsi que celles du plaignant et de son comparse C.________. Il a également à nouveau avancé le prétexte de l'avortement de son amie comme motif des infractions ainsi qu'exposé ci-dessus. Il convient également de prendre en compte, comme circonstance aggravante, le concours d’infractions conformément à l’art. 49 al. 1 CP, le prévenu s’étant rendu coupable d’extorsion et de chantage ainsi que de menaces.</w:t>
      </w:r>
    </w:p>
    <w:p>
      <w:r>
        <w:rPr>
          <w:b/>
        </w:rPr>
        <w:t>E. 4.3.2</w:t>
      </w:r>
    </w:p>
    <w:p>
      <w:r>
        <w:t>Concernant les éléments à décharge, il convient de prendre en compte, ainsi que l’ont fait les premiers juges, le contexte familial difficile de V.________ suite aux violences subies au Kosovo, le fait qu’une partie des infractions ont eu lieu lorsqu’il était mineur, le dédommagement du prévenu au plaignant ainsi que sa resocialisation. Il est nécessaire de</w:t>
      </w:r>
    </w:p>
    <w:p>
      <w:r>
        <w:t>- 19 - prendre en considération également les rapports du Dr G.________, psychiatre du prévenu, et du Directeur de W.________. Ces deux éléments n’ont que très partiellement été analysés par le tribunal de première instance alors qu’il était important de s'y référer dans les éléments à décharge. Il ressort du rapport du Dr G.________, établi le 12 août 2011, que ce dernier suit le prévenu en raison de troubles dépressifs liés à la présente procédure depuis le mois de juin 2011, ainsi que celui-ci et l’ensemble de sa famille en psychothérapie familiale depuis le mois d’avril 2008. Il a d’abord exposé les violences et menaces subies par la famille au Kosovo puis leurs difficultés lors de leur arrivée en Suisse. Le psychiatre a ensuite abordé les infractions qui étaient reprochées au prévenu et ses sentiments à cet égard. Il a indiqué que le prévenu avait toujours reconnu les faits qui lui étaient reprochés et leur ampleur et avait tout de suite exprimé le vœu de rendre l’argent extorqué au plaignant. Il a exposé que V.________ n’était pas parvenu à comprendre les raisons de ses actes et avait déclaré qu’il traversait alors une très mauvaise période, ayant eu quelques temps auparavant des idées suicidaires. Le psychiatre a expliqué que le prévenu éprouvait surtout d’intenses sentiments de honte et de culpabilité, était conscient de la gravité des faits reprochés et développait des affects dépressifs. Il a encore indiqué que V.________ s’était beaucoup investi dans son préapprentissage et apprentissage, qu’il se sentait différent de ce qu’il était un an plus tôt et était absolument convaincu que jamais il ne commettra d’autres actes délictueux. Selon le psychiatre, les risques de récidive sont pratiquement nuls. Il ressort du rapport d’H.________, directeur de W.________, établi le 14 août 2011, que V.________ a suivi les cours de W.________ à Lausanne du 31 mars 2008 au 29 juin 2009. Il a relevé que, tout au long de sa scolarité, le prévenu avait été un étudiant très présent, serviable, attentionné et poli à l’égard de ses professeurs et de ses camarades. Il a en outre été désireux d’apprendre, ayant fait d’énormes progrès en français. Il a exposé que le prévenu souhaitait ardemment s’insérer dans le monde du travail, mais ne le pouvait malheureusement pas en raison de</w:t>
      </w:r>
    </w:p>
    <w:p>
      <w:r>
        <w:t>- 20 - son statut en Suisse. Dès que la famille a obtenu une autorisation de séjour, il a expliqué que le prévenu avait repris avec rigueur et motivation la recherche d’une formation. Les démarches ont abouti et le prévenu a commencé un apprentissage de quatre ans depuis le 15 août 2011 dans une entreprise de plâtrier-peintre. Le directeur de W.________ a exposé que le prévenu l’avait informé des infractions qu’il avait commises et que ce dernier lui avait fait de sincères aveux de repentance. Il a finalement exposé que, par son emploi et sa formation actuels, le prévenu avait envie de se racheter et qu’il était très important qu’il puisse continuer son parcours professionnel. L'autorité de première instance a également retenu, comme circonstance atténuante, le fait que le résultat nécessaire à la consommation de l’infraction d’extorsion et de chantage qualifié ne s'était pas produit, en d'autres termes qu'il s'agissait d'une tentative au sens de l'art. 22 al. 1 CP.</w:t>
      </w:r>
    </w:p>
    <w:p>
      <w:r>
        <w:rPr>
          <w:b/>
        </w:rPr>
        <w:t>E. 4.3.3</w:t>
      </w:r>
    </w:p>
    <w:p>
      <w:r>
        <w:t>En vertu de l’art. 156 ch. 3 CP, si l’auteur a exercé des violences sur une personne ou s’il l’a menacée d’un danger imminent pour la vie ou l’intégrité corporelle, la peine sera celle prévue par l’art. 140 CP. Dès lors, celui qui, comme l’appelant, aura mis la victime en danger de mort, encourt une peine privative de liberté de cinq ans au mois en vertu de l'art. 140 ch. 4 CP (Corboz, Les infractions en droit suisse, vol. I, Berne 2010, n. 31, p. 405). En effet, le fait de positionner une lame acérée à proximité immédiate de la gorge d'une victime, ou directement sur celle- ci, de telle sorte qu'il en résulte un danger qu'une échauffourée ou un mouvement minime, par exemple un mouvement réflexe involontaire, de la victime ou de l'auteur entraîne une lésion mortelle constitue, selon la jurisprudence, objectivement une mise en danger de sa vie au sens de l'art. 140 ch. 4 CP (ATF 6B_726/2010 du 17 mai 2011 c. 1.5 ; ATF 117 IV 427 c. 3b/aa). Cette circonstance aggravante est réalisée en l'espèce, au vu des circonstances dans lesquelles la victime s’est trouvée en contact avec le couteau utilisé par le prévenu. Par conséquent, sans la circonstance atténuante du degré de réalisation de l'infraction (cf. art. 22 al. 1 CP), la peine aurait dû être de cinq ans au mois conformément aux</w:t>
      </w:r>
    </w:p>
    <w:p>
      <w:r>
        <w:t>- 21 - dispositions précitées. En outre, compte tenu de la mise en danger de mort, il faut admettre la grande proximité du résultat prévu dans l’infraction de l’art. 156 ch. 3 CP, ce qui exclut une atténuation importante de la peine. En effet, la réduction de la peine doit être d'autant plus faible que le résultat de l'infraction est proche et que les conséquences de l'acte commis sont graves (TF 6B_973/2009 du 26 janvier 2010 c. 4.1; ATF 127 IV 101 c. 2b; ATF 121 IV 49 c. 1b). Ainsi, même en tenant compte plus largement que ne paraissent l'avoir fait les premiers juges des deux rapports précités, la sanction infligée ne procède pas d'un abus du pouvoir d'appréciation. On peut à cet égard observer que la partie de la peine à exécuter aurait pu être plus élevée conformément à l’art. 43 al. 3 CP. Les premiers juges l'ont néanmoins arrêtée à six mois, soit au minimum prévu par la loi. C'est dire qu'il a été tenu compte des efforts de resocialisation de l'appelant. D'une manière générale, les premiers juges ne se sont pas fondés sur des critères étrangers à l'art. 47 CP et ne sont pas sortis du cadre légal en fixant une peine privative de liberté de trois ans, assortie d’un sursis partiel de 30 mois. Au vu des circonstances, la quotité de la peine infligée est adéquate au regard des infractions commises, de la culpabilité de l'appelant et de sa situation personnelle. Elle doit donc être confirmée. La quotité de la peine, qui dépasse deux ans, exclut un sursis total au sens de l’art. 42 CP. Au vu de ce qui précède, le grief, mal fondé, doit être rejeté.</w:t>
      </w:r>
    </w:p>
    <w:p>
      <w:r>
        <w:rPr>
          <w:b/>
        </w:rPr>
        <w:t>E. 5</w:t>
      </w:r>
    </w:p>
    <w:p>
      <w:r>
        <w:t>En définitive, l'appel doit être rejeté et le jugement attaqué confirmé dans son entier. Vu l'issue de la cause, les frais de la procédure d'appel doivent être mis à la charge de V.________ (art. 428 al. 1 CPP). Outre l'émolument, qui se monte à 2'130 fr. (art. 21 al. 1 et 2 TFJP [Tarif des frais judiciaires pénaux du 28 septembre 2010, RSV 312.03.1]), ces frais comprennent</w:t>
      </w:r>
    </w:p>
    <w:p>
      <w:r>
        <w:t>- 22 - l'indemnité allouée au défenseur d'office de l'appelant (cf. art. 135 al. 2 et 422 al. 2 let. a CPP, art. 2 al. 2 ch. 1 TFJP). Ce dernier a indiqué qu'il avait consacré 6 heures 76 au dossier, temps en audience compris. Au vu de la complexité de la cause, des opérations mentionnées dans la note d'honoraires et de la procédure d'appel, une indemnité de 1'314 fr. 15, TVA et débours inclus (cf. art. 135 al. 1 CPP), se justifie. L'appelant ne sera tenu de rembourser à l'Etat le montant de l'indemnité en faveur de son conseil d'office prévue ci-dessus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