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PE10.008134 vom 3. November 2015</w:t>
      </w:r>
    </w:p>
    <w:p>
      <w:r>
        <w:t>VD Tribunal cantonal, 2015-11-03, FR</w:t>
      </w:r>
    </w:p>
    <w:p>
      <w:r>
        <w:rPr>
          <w:b/>
        </w:rPr>
        <w:t xml:space="preserve">Quelle: </w:t>
      </w:r>
      <w:r>
        <w:t>https://mcp.opencaselaw.ch/entscheid/vd_gerichte_PE10.008134</w:t>
      </w:r>
    </w:p>
    <w:p>
      <w:r>
        <w:t>FR: VD_GERICHTE PE10.008134 du 3 novembre 2015</w:t>
      </w:r>
    </w:p>
    <w:p>
      <w:r>
        <w:t>IT: VD_GERICHTE PE10.008134 del 3 novembre 2015</w:t>
      </w:r>
    </w:p>
    <w:p>
      <w:pPr>
        <w:pStyle w:val="Heading2"/>
      </w:pPr>
      <w:r>
        <w:t>Erwägungen</w:t>
      </w:r>
    </w:p>
    <w:p>
      <w:r>
        <w:rPr>
          <w:b/>
        </w:rPr>
        <w:t>E. 6</w:t>
      </w:r>
    </w:p>
    <w:p>
      <w:r>
        <w:t>Dans un dernier moyen, l’appelant C.________ conteste la qualification de l’infraction, soutenant que les lésions corporelles devraient être tenues pour simples plutôt que pour graves. Il soutient que l’incapacité de travail de la victime procèderait dans une large mesure de facteurs psychologiques et de troubles cervicaux étrangers à l’accident, ce qui réduirait d’autant la gravité des lésions au sens légal.</w:t>
      </w:r>
    </w:p>
    <w:p>
      <w:r>
        <w:t>- 23 - Les lésions physiologiques, dont l’origine n’est pas contestée par l’appelant, ont été à l’origine d’une cicatrice sur le front, d’une incapacité de travail d’une durée significative (soit plus de quatre ans) et d’un traitement médical au long cours, impliquant notamment une hospitalisation, une greffe de peau, un séjour en clinique de réhabilitation, ainsi que des contrôles médicaux et des séances de physiothérapie subséquents, prévus « sur une longue période » (P. 156). Ces éléments commandent de considérer ces lésions comme graves au sens légal, soit des art. 122 et 125 al. 2 CP (cf. ATF 124 IV 53 consid. 2).</w:t>
      </w:r>
    </w:p>
    <w:p>
      <w:r>
        <w:rPr>
          <w:b/>
        </w:rPr>
        <w:t>E. 7</w:t>
      </w:r>
    </w:p>
    <w:p>
      <w:r>
        <w:t>Vu l'issue des appels, l'émolument d’appel (art. 21 al. 1 et 2 TFIP [Tarif des frais de procédure et indemnités en matière pénale du 28 septembre 2010; RSV 312.03.1]) sera mis à la charge des appelants, qui succombent (art. 428 al. 1 CPP), par moitié chacun (art. 418 al. 1 CPP).</w:t>
      </w:r>
    </w:p>
    <w:p>
      <w:r>
        <w:rPr>
          <w:b/>
        </w:rPr>
        <w:t>E. 8</w:t>
      </w:r>
    </w:p>
    <w:p>
      <w:r>
        <w:t>L’intimé V.________ requiert une indemnité pour les dépenses occasionnées par l'exercice raisonnable de ses droits de procédure au sens de l’art. 429 CPP, pour la procédure d’appel. Les conditions de principe posées par l’art. 429 al. 1 let. a CPP sont réunies. La partie a chiffré et justifié ses prétentions conformément à l’art. 429 al. 2 CPP en produisant une note d’honoraires et frais de son conseil (P. 159). Au vu de ce relevé d’opérations, le montant de l’indemnité doit être arrêté sur la base d’une durée d’activité utile de son mandataire de 2,66 heures d’avocat de choix, à 350 fr. l’heure, en plus d’une heure d’avocat stagiaire de choix à 180 fr. l’heure et de 18 fr. de débours, hors audience. Il doit en outre être tenu compte de la durée de l’audience, à raison de deux heures d’avocat stagiaire de choix, au même tarif horaire. Un montant total de 119 fr. 15 sera ajouté au titre de la TVA. De plus, l’intimé demande un défraiement à raison de 110 fr. au titre du manque à gagner afférent à une demi-journée de travail, selon l’art. 429 al. 1 let. b CPP. Cette conclusion n’est pas justifiée par pièce, de sorte qu’elle ne saurait être allouée. Du reste, il serait étonnant que l’employeur ne donne pas congé pour la défense d’un prévenu acquitté,</w:t>
      </w:r>
    </w:p>
    <w:p>
      <w:r>
        <w:t>- 24 - intimé à l’appel, s’agissant d’un empêchement de travailler sans faute de la part du travailleur pour des causes inhérentes à sa personne au sens de l’art. 324a al. 1 CO, en relation de surcroît avec un complexe de faits d’ordre professionnel. C’est donc un montant limité à 1'608 fr. 25 qui sera alloué à l’intimé à titre d’indemnité pour les dépenses occasionnées par l'exercice raisonnable de ses droits de procédure en appel, à la charge de L.________, qui succombe à l’égard de V.________.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