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PE10.005911 vom 6. Juni 2011</w:t>
      </w:r>
    </w:p>
    <w:p>
      <w:r>
        <w:t>VD Tribunal cantonal, 2011-06-06, FR</w:t>
      </w:r>
    </w:p>
    <w:p>
      <w:r>
        <w:rPr>
          <w:b/>
        </w:rPr>
        <w:t xml:space="preserve">Quelle: </w:t>
      </w:r>
      <w:r>
        <w:t>https://mcp.opencaselaw.ch/entscheid/vd_gerichte_PE10.005911</w:t>
      </w:r>
    </w:p>
    <w:p>
      <w:r>
        <w:t>FR: VD_GERICHTE PE10.005911 du 6 juin 2011</w:t>
      </w:r>
    </w:p>
    <w:p>
      <w:r>
        <w:t>IT: VD_GERICHTE PE10.005911 del 6 giugno 2011</w:t>
      </w:r>
    </w:p>
    <w:p>
      <w:pPr>
        <w:pStyle w:val="Heading2"/>
      </w:pPr>
      <w:r>
        <w:t>Erwägungen</w:t>
      </w:r>
    </w:p>
    <w:p>
      <w:r>
        <w:rPr>
          <w:b/>
        </w:rPr>
        <w:t>E. 2</w:t>
      </w:r>
    </w:p>
    <w:p>
      <w:r>
        <w:t>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2.2</w:t>
      </w:r>
    </w:p>
    <w:p>
      <w:r>
        <w:t>En l'occurrence, l'appelant a été renvoyé pour neuf cas concernant des vols avec effraction d'outillage ou de matériel sur des chantiers. Les premiers juges l'ont libéré, au bénéfice du doute, dans</w:t>
      </w:r>
    </w:p>
    <w:p>
      <w:r>
        <w:t>- 18 - quatre cas (cf. jgt., cons. 2a et 2f). En revanche, dans les cinq autres cas, le tribunal de première instance s'est convaincu de la culpabilité de P.________ en retenant qu'une partie du butin a été retrouvée chez lui et que deux témoins l'ont formellement identifié. Ils ont également considéré que les explications de l'intéressé lui-même étaient embrouillées et fantaisistes (cf. jgt., p. 12 et 13). L'appelant a certes requis l'audition comme témoins de V.________ et de M.________ en première instance, mais l'un a été renvoyé en Bosnie et l'autre est introuvable. En tout état de cause, on retient que V.________ a été entendu durant l'enquête et qu'il a mis en cause l'appelant pour avoir commis des vols sur des chantiers, dont une fois en sa compagnie (cf. PV d'audit. 8 et 9). Compte tenu de l'ensemble de ces éléments, la motivation développée par les premiers juges pour retenir dans cinq cas les faits à l'encontre de l'appelant n'est pas contraire aux éléments résultant du dossier et des débats. Le tribunal a suffisamment fondé sa conviction et les dénégations de l'appelant, aujourd'hui comme à l'époque, ne sont pas sérieuses. Les réquisitions qu'il a formulées pour prétendre prouver ce qu'il avance ne le sont pas davantage et ont été écartées par la cour de céans. Ce moyen, mal fondé, ne peut qu'être rejeté.</w:t>
      </w:r>
    </w:p>
    <w:p>
      <w:r>
        <w:rPr>
          <w:b/>
        </w:rPr>
        <w:t>E. 3</w:t>
      </w:r>
    </w:p>
    <w:p>
      <w:r>
        <w:t>L'appelant conteste la quotité de la peine en retenant que seule l'infraction de recel peut être retenue contre lui. Comme on l'a vu précédemment, l'argumentation de l'appelant ne correspond pas aux faits établis dans la mesure où l'infraction de recel n'a jamais été retenue contre lui. Elle doit dès lors être écartée.</w:t>
      </w:r>
    </w:p>
    <w:p>
      <w:r>
        <w:rPr>
          <w:b/>
        </w:rPr>
        <w:t>E. 4</w:t>
      </w:r>
    </w:p>
    <w:p>
      <w:r>
        <w:t>Dans l'hypothèse où il est reconnu coupable des infractions pour lesquelles il a été renvoyé, l'appelant considère que la peine</w:t>
      </w:r>
    </w:p>
    <w:p>
      <w:r>
        <w:t>- 19 - d'ensemble infligée est excessivement sévère. Il fonde son argumentation sur le fait que le Ministère public a requis une peine privative de liberté de 24 mois pour neuf cas de vols et soutenu qu'il y avait lieu de retenir l'aggravante du métier pour les faits incriminés. Or, les premiers juges n'ont retenu à la charge de l'appelant que cinq cas de vols simples. Enfin, l'appelant estime que les premiers juges n'ont pas suffisamment motivé leur position.</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principes régissant la fixation de la peine ont notamment été rappelés dans l’ATF 134 IV 17. Il en résulte notamment que l'art. 47 CP confère un large pouvoir d'appréciation au juge, qui n'est pas lié par les réquisitions du Ministère public. Le juge doit toutefois exposer quels éléments il a pris en compte pour fixer la peine, de manière à ce que l'on puisse vérifier que tous les aspects pertinents ont été pris en considération et comment ils ont été appréciés, que ce soit dans un sens atténuant ou aggravant.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w:t>
      </w:r>
    </w:p>
    <w:p>
      <w:r>
        <w:t>- 20 -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6B_722/2008 du 23 mars 2009 c. 5.2.1; ATF 127 IV 106). Sur le plan formel, la sanction est toujours une peine d'ensemble mais, sur celui de sa quotité, il est tenu compte du concours rétrospectif (TF 6B_28/2008 du 10 avril 2008 c. 3.3). Le juge n'est pas lié par le genre de peine infligée lors du premier jugement (Jürg-Beat Ackermann, Basler Kommentar, Strafrecht I, 2ème éd., 2007, n. 71 ad art. 49 CP). Conformément à l'art. 50 CP,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w:t>
      </w:r>
    </w:p>
    <w:p>
      <w:r>
        <w:t>- 21 -</w:t>
      </w:r>
    </w:p>
    <w:p>
      <w:r>
        <w:rPr>
          <w:b/>
        </w:rPr>
        <w:t>E. 4.2</w:t>
      </w:r>
    </w:p>
    <w:p>
      <w:r>
        <w:t>En l'occurrence, les premiers juges ont retenu que la culpabilité de l'appelant était lourde et que ce dernier persistait à violer la loi pénale nonobstant six condamnations précédentes dont une partie sans sursis. Ils ont conclu que la prise de conscience était nulle, P.________ persistant à nier l'évidence. A charge, les premiers juges ont également retenu le concours d'infractions. (cf. jgt., p. 16 et 17). Ils ont retenu qu'au vu des récidives intervenues durant les délais d'épreuve impartis en juin et juillet 2009, les sursis accordés devaient être révoqués, le genre de peine de ces deux dernières condamnations étant modifié pour former - avec la peine sanctionnant les cinq cas de vols simples retenus contre l'appelant - une peine d'ensemble. La motivation des premiers juges quant aux éléments retenus à charge et à décharge de l'appelant est complète de sorte qu'elle n'a pas besoin d'être plus longue. Elle est au surplus pertinente. La cour de céans relève, en effet, que si le montant du butin retiré est certes relativement faible, si l'on n'en juge d'après les prétentions civiles allouées, les vols se sont cependant déroulés sur une période relativement longue de onze mois. Les premiers juges ont toutefois méconnu l'art. 49 al. 2 CP en fixant la quotité de la peine partiellement complémentaire à celles infligées les 8 juin et 28 août 2009. En effet, pour fixer la peine complémentaire, il convient de retenir trois cas de vols commis avant ses précédentes condamnations, à savoir les vols commis à Aigle en avril 2009, à Genève en mai 2009 et enfin à Puidoux-Gare en juillet 2009. Le montant des dommages pour l'ensemble de ces cas est d'environ 30'000 fr, ce qui justifie une peine privative de liberté de 16 mois. Pour fixer la peine sanctionnant ces cas, il faut cependant tenir compte de la peine de 12 heures de travail d'intérêt général (soit trois jours) prononcée en juin 2009, de la peine pécuniaire de 40 jours-amende assortie d'une amende de 300 fr. (soit 10 jours de peine privative de liberté de substitution) prononcée en juillet 2009 et enfin d'une peine privative de liberté de 70 jours prononcée en août 2009.</w:t>
      </w:r>
    </w:p>
    <w:p>
      <w:r>
        <w:t>- 22 - L'ensemble de ces condamnations représentant une période d'environ 4 mois, la partie complémentaire de la peine privative de liberté doit dès lors être fixée à 12 mois (16 – 4). A cette partie complémentaire de la peine, il convient d'ajouter la peine sanctionnant les cas postérieurs au mois d'août 2009. Il s'agit des deux vols commis respectivement à Vouvry entre le 9 et le 10 septembre 2009 ainsi qu'à Roche le 11 mars 2010. Le montant des dommages pour ces deux infractions s'élève à environ 10'000 fr., une sanction de six mois de peine privative de liberté se justifie. Cette peine doit s'ajouter aux 12 mois fixé ci-dessus, pour obtenir une peine partiellement complémentaire de 18 mois.</w:t>
      </w:r>
    </w:p>
    <w:p>
      <w:r>
        <w:rPr>
          <w:b/>
        </w:rPr>
        <w:t>E. 4.3</w:t>
      </w:r>
    </w:p>
    <w:p>
      <w:r>
        <w:t>Au vu de ce qui précède, le grief formulé par l'appelant est fondé. En application de l'art. 49 al. 2 CP et afin de rester dans les limites d'une peine adaptée à la culpabilité de P.________, la peine partiellement complémentaire infligée doit être réduite de 24 mois à 18 mois.</w:t>
      </w:r>
    </w:p>
    <w:p>
      <w:r>
        <w:rPr>
          <w:b/>
        </w:rPr>
        <w:t>E. 5</w:t>
      </w:r>
    </w:p>
    <w:p>
      <w:r>
        <w:t>L'appelant évoque sa situation familiale et professionnelle ainsi que le fait que sa mise en cause aurait eu un "effet de choc" et qu'il n'a plus eu à faire à la justice depuis cette époque. Compte tenu de ces éléments, il requiert que la peine infligée soit assortie du sursis.</w:t>
      </w:r>
    </w:p>
    <w:p>
      <w:r>
        <w:rPr>
          <w:b/>
        </w:rPr>
        <w:t>E. 5.1</w:t>
      </w:r>
    </w:p>
    <w:p>
      <w:r>
        <w:t>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- 23 - Les circonstances sont particulièrement favorables lorsqu'elles empêchent que l'infraction antérieure ne détériore le pronostic.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(TF 6B_492/2008 du 19 mai 2009, c. 3.1.2 et les références citées).</w:t>
      </w:r>
    </w:p>
    <w:p>
      <w:r>
        <w:rPr>
          <w:b/>
        </w:rPr>
        <w:t>E. 5.2</w:t>
      </w:r>
    </w:p>
    <w:p>
      <w:r>
        <w:t>Dans le cas d'espèce, les premiers juges ont interprété les antécédents de l'appelant comme le fait que ce dernier démontrait un souverain mépris envers la justice et ses décisions. Compte tenu de la répétition d'infractions contre le patrimoine et de son comportement dans cette affaire, en particulier de ses dénégations et de son absence de prise de conscience, ils ont posé un pronostic défavorable pour l'avenir. Leur motivation ne prête pas le flanc à la critique et doit être confirmée. L'effet de choc que l'appelant évoque n'est confirmé par aucun élément du dossier et ne peut dès lors pas être retenu. Ce grief, mal fondé, doit être rejeté.</w:t>
      </w:r>
    </w:p>
    <w:p>
      <w:r>
        <w:rPr>
          <w:b/>
        </w:rPr>
        <w:t>E. 6</w:t>
      </w:r>
    </w:p>
    <w:p>
      <w:r>
        <w:t>Enfin, l'appelant requiert la restitution de la somme de 989 fr. 35 séquestrée. Il relève que l'instruction n'avait pas permis d'établir que ce montant provenait d'une activité délictueuse de sort que son maintien sous séquestre ne se justifie pas.</w:t>
      </w:r>
    </w:p>
    <w:p>
      <w:r>
        <w:rPr>
          <w:b/>
        </w:rPr>
        <w:t>E. 6.1</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- 24 -</w:t>
      </w:r>
    </w:p>
    <w:p>
      <w:r>
        <w:rPr>
          <w:b/>
        </w:rPr>
        <w:t>E. 6.2</w:t>
      </w:r>
    </w:p>
    <w:p>
      <w:r>
        <w:t>En l'occurrence, s'agissant de 989 fr. 35 confisqués et dévolus à l'Etat, l'appelant se trompe en prétendant que les premiers juges ont retenu que l'instruction n'avait pas permis d'établir qu'il ait tiré des revenus de son activité délictueuse. En effet, les premiers juges n'évoquent l'absence d'information sur les revenus tirés de l'activité délictueuse que pour écarter la circonstance aggravante du métier (cf. jgt., p. 16 consid. 3). Cela ne signifie pas pour autant que l'intéressé n'a tiré aucun revenu de cette activité, mais uniquement que son ampleur et celui des revenus qu'il en a retiré ne permettent pas de retenir cette circonstance aggravante. Les premiers juges étaient dès lors parfaitement fondés à appliquer l'art. 70 al. 1 CP à la somme en cause. Ce grief, infondé, doit être rejeté.</w:t>
      </w:r>
    </w:p>
    <w:p>
      <w:r>
        <w:rPr>
          <w:b/>
        </w:rPr>
        <w:t>E. 7</w:t>
      </w:r>
    </w:p>
    <w:p>
      <w:r>
        <w:t>En dernier lieu, l'appelant requiert qu'il soit donné acte de leurs conclusions civiles aux plaignants Q.________ SA, R.________ Sàrl et X.________ SA dans la mesure où ils n'ont pas été indemnisés d'une autre manière. Compte tenu de ce qui précède, il convient de retenir que les conclusions civiles admises par les premiers juges étaient justifiées tant dans leur principe que dans leur quotité. Ce grief, là encore mal fondé, ne peut qu'être rejeté.</w:t>
      </w:r>
    </w:p>
    <w:p>
      <w:r>
        <w:rPr>
          <w:b/>
        </w:rPr>
        <w:t>E. 8</w:t>
      </w:r>
    </w:p>
    <w:p>
      <w:r>
        <w:t>En définitive, l'appel de P.________ est partiellement admis. La peine privative de liberté est réduite de 24 mois à 18 mois. Le jugement de première instance est confirmé pour le surplus.</w:t>
      </w:r>
    </w:p>
    <w:p>
      <w:r>
        <w:rPr>
          <w:b/>
        </w:rPr>
        <w:t>E. 9</w:t>
      </w:r>
    </w:p>
    <w:p>
      <w:r>
        <w:t>Vu l'issue de la cause, les frais de la procédure d'appel doivent être mis à raison des deux tiers à la charge de P.________, le solde étant laissé à la charge de l'Etat (art. 428 al. 1 CPP).</w:t>
      </w:r>
    </w:p>
    <w:p>
      <w:r>
        <w:t>- 25 - Outre l'émolument, qui se monte à 2'350 fr. (art. 21 al. 1 et 2 TFJP [Tarif des frais judiciaires pénaux du 28 septembre 2010, RSV 312.03.1]), ces frais comprennent l'indemnité d'office allouée par 2’000 fr., TVA comprise, au conseil de l'appelant (cf. art. 135 al. 2 et 422 al. 2 let. a CPP, art. 2 al. 2 ch. 1 TFJP).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