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PE10.004385 vom 8. März 2012</w:t>
      </w:r>
    </w:p>
    <w:p>
      <w:r>
        <w:t>VD Tribunal cantonal, 2012-03-08, FR</w:t>
      </w:r>
    </w:p>
    <w:p>
      <w:r>
        <w:rPr>
          <w:b/>
        </w:rPr>
        <w:t xml:space="preserve">Quelle: </w:t>
      </w:r>
      <w:r>
        <w:t>https://mcp.opencaselaw.ch/entscheid/vd_gerichte_PE10.004385</w:t>
      </w:r>
    </w:p>
    <w:p>
      <w:r>
        <w:t>FR: VD_GERICHTE PE10.004385 du 8 mars 2012</w:t>
      </w:r>
    </w:p>
    <w:p>
      <w:r>
        <w:t>IT: VD_GERICHTE PE10.004385 del 8 marzo 2012</w:t>
      </w:r>
    </w:p>
    <w:p>
      <w:pPr>
        <w:pStyle w:val="Heading2"/>
      </w:pPr>
      <w:r>
        <w:t>Erwägungen</w:t>
      </w:r>
    </w:p>
    <w:p>
      <w:r>
        <w:rPr>
          <w:b/>
        </w:rPr>
        <w:t>E. 5</w:t>
      </w:r>
    </w:p>
    <w:p>
      <w:r>
        <w:t>L'appelant soutient que la quantité de drogue pure vendue doit être estimée à 22.54 grammes et non à 36.23 grammes comme retenu par les premiers juges.</w:t>
      </w:r>
    </w:p>
    <w:p>
      <w:r>
        <w:rPr>
          <w:b/>
        </w:rPr>
        <w:t>E. 5.1</w:t>
      </w:r>
    </w:p>
    <w:p>
      <w:r>
        <w:t>La jurisprudence et la doctrine considèrent que la question du taux de pureté est une question d'appréciation des preuves. En l'absence d'autres éléments de preuves et dès lors que la drogue n'est plus disponible pour une analyse, le taux de pureté peut, sans arbitraire, être déterminé sur une base statistique en référence au degré de pureté habituel à l'époque du trafic (TF 6B_600/2011 du 18 octobre 2011 c. 1.3; Corboz, Les infractions en droit suisse, vol II, 3e éd., Berne 2010, n. 86 ad art. 19 LStup et les références citées).</w:t>
      </w:r>
    </w:p>
    <w:p>
      <w:r>
        <w:rPr>
          <w:b/>
        </w:rPr>
        <w:t>E. 5.2</w:t>
      </w:r>
    </w:p>
    <w:p>
      <w:r>
        <w:t>En l'occurrence, l'appelant a vendu, en 2007, pour une période de 5 mois, à raison d'une boulette de 0.8 gramme par semaine à O.________, 16 grammes au total. Selon les tabelles établies par le Centre universitaire romand, le taux moyen de pureté en Suisse en 2007 pour une quantité vendue inférieure à 1 gramme était de 35 %, soit 5.6 grammes net. S'agissant des 0.5 gramme vendu entre 2009 et 2010, le taux moyen était de 27 %, soit 0.13 grammes net. L'appelant a vendu dix boulettes de 0.8 gramme à K.________, pour l'essentiel sur l'année 2009, soit 8 grammes brut et 2.24 grammes net selon un taux moyen de pureté de 28 %. Entre mars et mai 2009, puis entre août 2009 et janvier 2010, il a vendu dix-huit boulettes entre 0.5 et 0.6 gramme à J.________, soit au moins 9 grammes brut, correspondant à 2.52 grammes net selon un taux moyen de pureté de 28 %.</w:t>
      </w:r>
    </w:p>
    <w:p>
      <w:r>
        <w:t>- 15 - De décembre 2009 à février 2010, il a vendu six boulettes d'environ 0.7 gramme pièce à W.________, soit 4.2 grammes brut, correspondant à 1.13 grammes net selon un taux moyen de 27 %; l'activité délictuelle s'étant déroulée à cheval entre 2009 et 2010, le taux le plus favorable à l'appelant est retenu. Enfin, s'agissant des deux fingers vendus à S.________, le finger de 5 grammes a été livré antérieurement. Il n'a dès lors pas été retrouvé lors de la perquisition de sorte que le taux de pureté moyen doit également s'appliquer pour ce finger. La livraison ayant eu lieu en 2009, c'est un taux de pureté moyen de 30 % qui sera retenu ce qui correspond à 1.5 grammes net pour 5 grammes vendus. Le taux de 62.8 % est ainsi applicable uniquement au dernier finger de 15 grammes, ce qui correspond à 9.42 grammes net. Par conséquent, contrairement à ce qu'ont retenu les premiers juges, la quantité totale de drogue pure vendue par l'appelant s'élève à 22.54 grammes.</w:t>
      </w:r>
    </w:p>
    <w:p>
      <w:r>
        <w:rPr>
          <w:b/>
        </w:rPr>
        <w:t>E. 6</w:t>
      </w:r>
    </w:p>
    <w:p>
      <w:r>
        <w:t>L'appelant conteste la quotité de la peine, le genre de peine n'étant pas remis en question.</w:t>
      </w:r>
    </w:p>
    <w:p>
      <w:r>
        <w:rPr>
          <w:b/>
        </w:rPr>
        <w:t>E. 6.1</w:t>
      </w:r>
    </w:p>
    <w:p>
      <w:r>
        <w:t>Dans la teneur en vigueur jusqu'au 30 juin 2011, l'art. 19 ch. 1 aLStup (Loi fédérale du 3 octobre 1951 sur les stupéfiants et les substances psychotropes; RS 812.121) stipulait qu'était punissable d'une peine privative de liberté de trois ans au plus ou d'une peine pécuniaire celui qui notamment, sans droit, cultive, fabrique ou produit de toute autre manière des stupéfiants (let. a), entrepose, expédie, transporte, importe exporte des stupéfiants ou les passe en transit (let. b), aliène ou prescrit des stupéfiants, en procure de toute autre manière à un tiers ou en met dans le commerce (let. c), possède, déteint ou acquiert des stupéfiants ou s'en procure de toute autre manière (let. d). Au terme de l'art. 19 al. 2 let. a aLStup, l'auteur de l'infraction est puni d'une peine privative de liberté</w:t>
      </w:r>
    </w:p>
    <w:p>
      <w:r>
        <w:t>- 16 - d'un an au moins, cette sanction pouvant être cumulée avec une peine pécuniaire s'il sait ou ne peut ignorer que l'infraction peut directement ou indirectement mettre en danger la vie de nombreuses personnes. L'art. 19 LStup dans sa teneur au 1er juillet 2011 n'est pas plus favorable au prévenu de sorte qu'il y a lieu d'appliquer la disposition en vigueur au moment des faits conformément au principe de la lex mitior consacré à l'art. 2 al. 2 CP.</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6.2.2</w:t>
      </w:r>
    </w:p>
    <w:p>
      <w:r>
        <w:t>En matière d'infractions à la loi fédérale sur les stupéfiants, le Tribunal fédéral a, en outre, dégagé des principes spécifiques. Même si la quantité de la drogue ne joue pas un rôle prépondérant, elle constitue sans conteste un élément important. Elle</w:t>
      </w:r>
    </w:p>
    <w:p>
      <w:r>
        <w:t>- 17 - perd cependant de l'importance au fur et à mesure que l'on s'éloigne de la limite à partir de laquelle le cas doit être considéré comme grave au sens de l'art. 19 ch. 2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 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 dire les raisons qui ont poussé l'auteur à agir, ont ainsi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w:t>
      </w:r>
    </w:p>
    <w:p>
      <w:r>
        <w:t>- 18 -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6B_567/2012 du 18 décembre 2012 c. 3.2; ATF 122 IV 299 c. 2; ATF 121 IV 202 c. 2d/aa; ATF 118 IV 342 c. 2d).</w:t>
      </w:r>
    </w:p>
    <w:p>
      <w:r>
        <w:rPr>
          <w:b/>
        </w:rPr>
        <w:t>E. 6.2.3</w:t>
      </w:r>
    </w:p>
    <w:p>
      <w:r>
        <w:t>Lorsque le juge est en présence de plusieurs infractions, dont l'une au moins a été commise avant une précédente condamnation et une autre au moins après celle-ci, il y a, d'une part, un concours rétrospectif et, d'autre part, une infraction nouvelle, qui font l'objet du même jugement. La doctrine et la jurisprudence parlent de concours rétrospectif partiel. Lorsque le juge est en présence de deux infractions dont l'une a été commise avant une précédente condamnation et l'autre après celle-ci, il faut donc procéder comme suit pour fixer la peine :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196 c. 2 p. 107; 116 IV 14 c. 2b p. 17 et les références citées).</w:t>
      </w:r>
    </w:p>
    <w:p>
      <w:r>
        <w:rPr>
          <w:b/>
        </w:rPr>
        <w:t>E. 6.3</w:t>
      </w:r>
    </w:p>
    <w:p>
      <w:r>
        <w:t>En l'espèce, il s'agit de fixer une nouvelle peine compte tenu de la quantité de 22.54 grammes de drogue pure retenue. La culpabilité de l'appelant est lourde. La quantité de cocaïne vendue, supérieure à 18 grammes, relève en effet du cas grave. A charge, il convient de relever que sans source de revenu en Suisse, il s'est livré au trafic de stupéfiant. Son activité délictueuse a débuté comme celle d'un dealer de rue. Par la suite, son activité délictueuse s'est aggravée dès lors qu'il a fourni deux fingers de 5 et 15 grammes à un autre trafiquant. Condamné une</w:t>
      </w:r>
    </w:p>
    <w:p>
      <w:r>
        <w:t>- 19 - première fois le 1er avril 2008 pour infraction à la LStup, il s'est livré au trafic de stupéfiant dès sa sortie de prison, prenant l'initiative de contacter ses anciens clients. Il n'a donc absolument pas tenu compte de la condamnation pourtant relativement lourde qui avait été prononcée, à savoir une peine privative de liberté de deux ans, dont un an ferme. Ce n'est que son interpellation en février 2010 qui a permis de mettre un terme à son activité délictueuse. Il est en outre récidiviste en matière d'infraction à la législation sur le séjour des étrangers. Le concours d'infractions sera retenu à charge. A décharge, la Cour retiendra les regrets présentés par l'appelant devant les premiers juges et réitérés devant elle, regrets qui sont apparus sincères. En outre, la collaboration de l'appelant s'est améliorée lors de l'audience de jugement. A cet égard, il faut préciser qu'il a rapidement reconnu son implication dans la fourniture de fingers de cocaïne. Même s'il a durant l'enquête minimisé ses ventes de boulettes, il les a reconnues en audience dans leur principe. Compte tenu de tous ces éléments, une peine privative de liberté de 24 mois est adéquate pour sanctionner son comportement délictueux. Cette peine doit être partiellement complémentaire à celle prononcée le 1er avril 2008 puisque l'appelant a notamment vendu des stupéfiants à O.________, durant 5 mois en 2007.</w:t>
      </w:r>
    </w:p>
    <w:p>
      <w:r>
        <w:rPr>
          <w:b/>
        </w:rPr>
        <w:t>E. 7</w:t>
      </w:r>
    </w:p>
    <w:p>
      <w:r>
        <w:t>Il convient d'examiner si l'appelant peut être mis au bénéfice du sursis.</w:t>
      </w:r>
    </w:p>
    <w:p>
      <w:r>
        <w:rPr>
          <w:b/>
        </w:rPr>
        <w:t>E. 7.1</w:t>
      </w:r>
    </w:p>
    <w:p>
      <w:r>
        <w:t>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w:t>
      </w:r>
    </w:p>
    <w:p>
      <w:r>
        <w:t>- 20 - privative de liberté ferme, ou avec sursis de six mois au moins ou à une peine pécuniaire de 180 jours-amende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respectivement du sursis partiel,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3.2.1 non publié; Kuhn, Commentaire romand, Code pénal I, Bâle 2009, n. 17 ad art. 42). Le pronostic doit être posé sur la base de tous les éléments propres à éclairer l'ensemble du caractère de l'accusé et ses chances d'amendement. Il n'est pas admissible d'accorder un poids particulier à certains critères et d'en négliger d'autres qui sont pertinents. En effet, s'il n'existe aucune perspective que l'auteur puisse être influencé de quelque manière par un sursis complet ou partiel, la peine doit être entièrement exécutée (ATF 134 IV 1 précité, c. 5.3.1, p. 10).</w:t>
      </w:r>
    </w:p>
    <w:p>
      <w:r>
        <w:rPr>
          <w:b/>
        </w:rPr>
        <w:t>E. 7.2</w:t>
      </w:r>
    </w:p>
    <w:p>
      <w:r>
        <w:t>En l'espèce, le sursis total est exclu : l'appelant a récidivé juste après avoir purgé un an de détention et aucune circonstance particulièrement favorable n'est réalisée. Le sursis partiel ne saurait être envisagé. Cette récidive et l'intensité plus forte de l'activité délictuelle notamment conduisent à poser un pronostic défavorable. Le fait que</w:t>
      </w:r>
    </w:p>
    <w:p>
      <w:r>
        <w:t>- 21 - l'appelant a changé, après la commission de ces infractions, de mode de vie et qu'il a exprimé des regrets n'est pas suffisant pour inverser ce pronostic qui reste défavorable.</w:t>
      </w:r>
    </w:p>
    <w:p>
      <w:r>
        <w:rPr>
          <w:b/>
        </w:rPr>
        <w:t>E. 8</w:t>
      </w:r>
    </w:p>
    <w:p>
      <w:r>
        <w:t>L'appelant conteste la révocation du sursis partiel accordé le 1er avril 2008.</w:t>
      </w:r>
    </w:p>
    <w:p>
      <w:r>
        <w:rPr>
          <w:b/>
        </w:rPr>
        <w:t>E. 8.1</w:t>
      </w:r>
    </w:p>
    <w:p>
      <w:r>
        <w:t>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(ATF 134 IV 140 c.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4.5 ). Ainsi, un critère déterminant pour juger du risque de réitération et, partant, pour poser le pronostic prévu par la loi est celui de l'effet de choc et d'avertissement (Schock- und</w:t>
      </w:r>
    </w:p>
    <w:p>
      <w:r>
        <w:t>- 22 - Warnungswirkung)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8.2</w:t>
      </w:r>
    </w:p>
    <w:p>
      <w:r>
        <w:t>En l'espèce, l'appelant a récidivé juste après sa sortie de détention. Il a, toutefois, par la suite, visiblement changé de vie et d'attitude. Il s'est marié, et est père d'un enfant, ce qui semble avoir été suffisant pour le détourner de la délinquance depuis 2010. Il est au bénéfice d'un permis de séjour en Espagne où il travaillait jusqu'à son interpellation. Il a exprimé des regrets qui ont paru sincères. Rapidement après son arrestation, il a demandé de passer en exécution de peine. Compte tenu de l'effet choc de cette deuxième condamnation, l'effet dissuasif paraît suffisant et la révocation du sursis n'apparaît pas nécessaire. Cependant en application de l'art. 46 al. 2 CP, le délai d'épreuve sera prolongé de la moitié de sa durée, soit jusqu'à 7.5 ans.</w:t>
      </w:r>
    </w:p>
    <w:p>
      <w:r>
        <w:rPr>
          <w:b/>
        </w:rPr>
        <w:t>E. 9</w:t>
      </w:r>
    </w:p>
    <w:p>
      <w:r>
        <w:t>Une erreur de plume s'est glissée au chiffre VIII du dispositif du Tribunal correctionnel de l'arrondissement de la Broye et du Nord vaudois, en ce sens qu'il ne s'agit pas des indemnités allouées sous chiffre VI mais bien celles allouées sous chiffre VII dont le remboursement ne pourra être exigé de A.I.________ que dans la mesure où sa situation économique le permettra. Le dispositif sera par conséquent modifié d'office.</w:t>
      </w:r>
    </w:p>
    <w:p>
      <w:r>
        <w:rPr>
          <w:b/>
        </w:rPr>
        <w:t>E. 10</w:t>
      </w:r>
    </w:p>
    <w:p>
      <w:r>
        <w:t>En conséquence, l'appel est partiellement admis. Vu l'issue de la cause, les frais de la procédure d'appel, par 2'160 fr. (art. 21 al. 1 et 2 TFJP [Tarif des frais judiciaires pénaux du 28 septembre 2010, RSV 312.03.1]), ainsi que l'indemnité allouée au défenseur d'office de A.I.________ seront mis par un tiers à la charge de ce dernier, le solde étant laissé à la charge de l'Etat.</w:t>
      </w:r>
    </w:p>
    <w:p>
      <w:r>
        <w:t>- 23 - Vu la complexité de la cause et la liste des opérations produite, il convient d'admettre 14 heures pour l'exercice des droits de la défense. S'agissant des deux déplacements à la prison de la Croisée, ceux- ci sont dédommagés forfaitairement par 120 fr. pour les avocats. D'après la jurisprudence, ce forfait vaut pour tout le canton et couvre les kilomètres et le temps du déplacement aller et retour (CREP du 26 décembre 2012/844; Note 6.6 du Procureur général sur la fixation et le calcul des indemnités des conseils d'office du 17 janvier 2012). Ainsi, l'indemnité de défense d'office s'élèvera à 2'520 fr., plus 240 fr. pour les déplacements, plus 50 fr. de débours, plus la TVA par 224 fr. 80, soit à 3'034 fr. 80 au total. A.I.________ ne sera tenu de rembourser à l’Etat l'indemnité allouée à Me Vincent Demierre que lorsque sa situation financière le permettra (art. 135 al. 4 let. a CPP).</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