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PE10.003528 vom 24. Februar 2011</w:t>
      </w:r>
    </w:p>
    <w:p>
      <w:r>
        <w:t>VD Tribunal cantonal, 2011-02-24, FR</w:t>
      </w:r>
    </w:p>
    <w:p>
      <w:r>
        <w:rPr>
          <w:b/>
        </w:rPr>
        <w:t xml:space="preserve">Quelle: </w:t>
      </w:r>
      <w:r>
        <w:t>https://mcp.opencaselaw.ch/entscheid/vd_gerichte_PE10.003528</w:t>
      </w:r>
    </w:p>
    <w:p>
      <w:r>
        <w:t>FR: VD_GERICHTE PE10.003528 du 24 février 2011</w:t>
      </w:r>
    </w:p>
    <w:p>
      <w:r>
        <w:t>IT: VD_GERICHTE PE10.003528 del 24 febbraio 2011</w:t>
      </w:r>
    </w:p>
    <w:p>
      <w:pPr>
        <w:pStyle w:val="Heading2"/>
      </w:pPr>
      <w:r>
        <w:t>Erwägungen</w:t>
      </w:r>
    </w:p>
    <w:p>
      <w:r>
        <w:rPr>
          <w:b/>
        </w:rPr>
        <w:t>E. 4</w:t>
      </w:r>
    </w:p>
    <w:p>
      <w:r>
        <w:t>En définitive, il est clairement établi que l'appelant a profité de sa position de détenteur de la puissance publique pour imposer à un individu une activité prétendument sportive dans un lieu et à une heure totalement inappropriés pour ce genre d'activité, en hiver, et sous le couvert de sa fonction officielle. La Cour soulignera toutefois que, s'il est incontestable que les éléments constitutifs objectifs et subjectifs de l'art. 312 CP sont réunis, il n'en demeure pas moins que la faute n'est pas grave. En outre, l'appelant apparaît, hormis cet épisode unique, comme un policier exemplaire qui a du reste déjà été sanctionné sur le plan administratif. La peine de principe infligée par le tribunal est donc adéquate. Vu l'issue de la cause, les frais de procédure doivent être mis à la charge de l’appelant (art. 428 al. 1, 1ère phrase, CPP).</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