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PE10.001938 vom 17. Februar 2011</w:t>
      </w:r>
    </w:p>
    <w:p>
      <w:r>
        <w:t>VD Tribunal cantonal, 2011-02-17, FR</w:t>
      </w:r>
    </w:p>
    <w:p>
      <w:r>
        <w:rPr>
          <w:b/>
        </w:rPr>
        <w:t xml:space="preserve">Quelle: </w:t>
      </w:r>
      <w:r>
        <w:t>https://mcp.opencaselaw.ch/entscheid/vd_gerichte_PE10.001938</w:t>
      </w:r>
    </w:p>
    <w:p>
      <w:r>
        <w:t>FR: VD_GERICHTE PE10.001938 du 17 février 2011</w:t>
      </w:r>
    </w:p>
    <w:p>
      <w:r>
        <w:t>IT: VD_GERICHTE PE10.001938 del 17 febbraio 2011</w:t>
      </w:r>
    </w:p>
    <w:p>
      <w:pPr>
        <w:pStyle w:val="Heading2"/>
      </w:pPr>
      <w:r>
        <w:t>Erwägungen</w:t>
      </w:r>
    </w:p>
    <w:p>
      <w:r>
        <w:rPr>
          <w:b/>
        </w:rPr>
        <w:t>E. 7</w:t>
      </w:r>
    </w:p>
    <w:p>
      <w:r>
        <w:t>L'appelant conteste la preuve apportée par le tachygraphe. Il remet en cause la fiabilité et l'exactitude des calculs opérés par cet appareil, notamment en ce qui concerne la vitesse. Il soutient également que la distance le séparant du véhicule des deux policiers n'était pas constante, variant entre 70 et 100 mètres.</w:t>
      </w:r>
    </w:p>
    <w:p>
      <w:r>
        <w:rPr>
          <w:b/>
        </w:rPr>
        <w:t>E. 7.1</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Selon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a édicté, le 22 mai 2008, une Ordonnance (OOCCR-OFROU [Ordonnance de l’OFROU du 22 mai 2008 concernant l’ordonnance sur le contrôle de la circulation routière; RS 741.013.1]), ainsi que, en accord avec l'Office fédéral de métrologie (METAS), des Instructions concernant les contrôles de vitesse par la police et la surveillance de la circulation aux feux rouges (TF 6B_129/2010 du 10 juin 2010 c. 2.1). L'art. 6 let. c ch. 2 OOCCR-OFROU prévoit que les contrôles de vitesse peuvent être effectués au moyen d'un véhicule-suiveur. En vertu de l'art. 8 al. 1 let. g OOCCR-OFROU, lorsqu'il s'agit d'un tachygraphe avec calculatrice – ce qui est le cas en l'espèce (cf. annexe P. 4) – les marges de sécurité sont déterminées par le tableau figurant à l'annexe 1 de ladite ordonnance. La marge de sécurité applicable à une mesure au moyen d'un tachygraphe avec calculatrice, mais sans vidéo, en distance constante, est de 15% sur un tronçon d'au moins 500 mètres, de 10% sur un tronçon d'au moins 1'000 mètres et de 8% sur un tronçon d'au moins 2'000 mètres.</w:t>
      </w:r>
    </w:p>
    <w:p>
      <w:r>
        <w:t>- 15 - Le ch. III. 10 (plus particulièrement le ch. III. 10.4) des Instructions concernant les contrôles de vitesse par la police et la surveillance de la circulation aux feux rouges édictées par l'OFROU le 22 mai 2008, apporte des précisions sur les contrôles au moyen d'un véhicule-suiveur. Il en ressort que pour qu'une telle mesure soit probante, il faut disposer d'un tronçon suffisamment long, soit au minimum 500 mètres, maintenir autant que possible une distance constante par rapport au véhicule suivi et utiliser un appareil de mesure homologué et dûment réglé. Selon la jurisprudence, ces instructions techniques constituent de simples recommandations qui n'ont pas force de loi et ne lient pas le juge pénal (TF 6B_1083/2010 du 21 mars 2011 c. 1.4.2; ATF 123 II 206 c. 2e, JT 1997 I 725; ATF 121 IV 64 c. 3). Celui-ci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6B_1083/2010 c. 1.4.2). Les Instructions techniques réservent du reste la libre appréciation des preuves par les tribunaux (cf. ch. 21 des Instructions du 22 mai 2008).</w:t>
      </w:r>
    </w:p>
    <w:p>
      <w:r>
        <w:rPr>
          <w:b/>
        </w:rPr>
        <w:t>E. 7.2</w:t>
      </w:r>
    </w:p>
    <w:p>
      <w:r>
        <w:t>En l'occurrence, selon le rapport de police du 2 janvier 2010 et de l'audience de jugement (jgt, p. 3), l'intéressé a admis avoir circulé "trop vite, soit à 145 km/h environ", mais a contesté avoir roulé à la vitesse dénoncée de 157 km/h. Lors de l'audience devant la Cour de céans, le prévenu est toutefois revenu sur ses déclarations et a affirmé n'avoir pas roulé à 145 km/h. Il ressort des mesures effectuées par le tachygraphe utilisé par les deux policiers qui se trouvaient à bord du véhicule-suiveur (cf. annexe à la P. 4) que la vitesse du prévenu a été calculée sur une distance totale de 3'434,20 mètres pendant une durée de 1 minute et 14 secondes, avec une vitesse maximale de 175 km/h. En déduisant la marge de sécurité de 8%, applicable à une mesure au moyen d'un tachygraphe avec calculatrice</w:t>
      </w:r>
    </w:p>
    <w:p>
      <w:r>
        <w:t>- 16 - mais sans vidéo sur un tronçon d'au moins 2'000 mètres (cf. tableau figurant à l'annexe 1 de l'OOCCR-OFROU), correspondant à 14 km/h, J.________ a roulé à une vitesse de 157 km/h. Il n'y a pas lieu de douter de la preuve apportée par le tachygraphe, qui est un appareil fiable et précis. En effet, d'une part, selon le certificat de vérification du 18 septembre 2009, l'appareil en question a fait l'objet d'une vérification le 17 septembre 2009, soit peu de temps avant les faits, et cette vérification était valable jusqu'au 30 septembre 2010 (P. 13). D'autre part, les mesures effectuées par le tachygraphe ont été corroborées par le rapport de police du 2 janvier 2010 (P. 4) ainsi que par les déclarations de L.________ à l'audience de jugement du 17 février 2011 (jgt, pp. 4-5). Par ailleurs, s'agissant de la distance à laquelle le véhicule- suiveur se trouvait par rapport à la voiture du prévenu, L.________ a déclaré qu'il estimait la distance à environ 70 à 100 mètres. Il n'y a là aucune incohérence, ni contradiction, ni vice invalidant les calculs opérés par le tachygraphe. A des vitesses élevées comme celle relevées, la distance ne peut être absolument constante et c'est précisément pour en tenir compte que les mesures doivent être faites, d'une part, sur une distance importante – plus de 2'000 mètres en l'état – et, d'autre part, qu'une marge de sécurité est déduite. D'ailleurs, si la distance n'avait pas été constante lors du contrôle, mais au contraire avait été libre, la marge de sécurité déduite n'aurait alors été que de 6% (annexe 1 de l'OOCCR- OFROU).</w:t>
      </w:r>
    </w:p>
    <w:p>
      <w:r>
        <w:rPr>
          <w:b/>
        </w:rPr>
        <w:t>E. 8</w:t>
      </w:r>
    </w:p>
    <w:p>
      <w:r>
        <w:t>Les infractions retenues à l'encontre de l'appelant et la peine ne sont pas explicitement remises en cause par ce dernier. Toutefois, l'appel porte sur le jugement dans son ensemble, si bien que ces éléments sont examinés dans le présent considérant.</w:t>
      </w:r>
    </w:p>
    <w:p>
      <w:r>
        <w:rPr>
          <w:b/>
        </w:rPr>
        <w:t>E. 8.1</w:t>
      </w:r>
    </w:p>
    <w:p>
      <w:r>
        <w:t>En vertu de l'art. 90 LCR, celui qui aura violé les règles de la circulation fixées par la présente loi ou par les prescriptions d’exécution émanant du Conseil fédéral sera puni de l’amende (ch. 1). Celui qui, par</w:t>
      </w:r>
    </w:p>
    <w:p>
      <w:r>
        <w:t>- 17 - une violation grave d’une règle de la circulation, aura créé un sérieux danger pour la sécurité d’autrui ou en aura pris le risque, sera puni d’une peine privative de liberté de trois ans au plus ou d’une peine pécuniaire (al. 2).</w:t>
      </w:r>
    </w:p>
    <w:p>
      <w:r>
        <w:rPr>
          <w:b/>
        </w:rPr>
        <w:t>E. 8.1.1</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 qu'avec retenue (TF 6B_565/2010 du 21 octobre 2010 c. 3.1 et 3.2; ATF 131 IV 133 c. 3.2). La qualification de cas grave au sens de l'art. 90 ch. 2 LCR correspond à celle de l'art. 16c al. 1 let. a LCR (ATF 132 II 234 c. 3).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35 km/h ou plus sur les autoroutes (TF 1C_216/2009 du 14 septembre 2009 c. 5.2; ATF 132 II 234 c. 3.2).</w:t>
      </w:r>
    </w:p>
    <w:p>
      <w:r>
        <w:rPr>
          <w:b/>
        </w:rPr>
        <w:t>E. 8.1.2</w:t>
      </w:r>
    </w:p>
    <w:p>
      <w:r>
        <w:t>En l'espèce, il est établi que l'appelant n'a, à trois reprises, pas indiqué son intention de changer de direction au moyen de son clignotant. Il a donc violé l'art. 39 al. 1 LCR et son comportement est donc constitutif de contravention réitérée de l'art. 90 ch. 1 LCR. Il a également été démontré que le prévenu a roulé à une vitesse de 157 km/h, marge de sécurité déduite, au lieu des 120 km/h prescrits par l'art. 4a al. 1 let. d OCR. En ayant dépassé la vitesse autorisée de 37 km/h sur une autoroute, J.________ s'est rendu coupable d'une infraction grave aux règles de la circulation routière au sens de l'art. 90 ch. 2 LCR. Cette infraction est</w:t>
      </w:r>
    </w:p>
    <w:p>
      <w:r>
        <w:t>- 18 - également réalisée par la manœuvre de dépassement effectuée par le prévenu suivie d'un rabattement intempestif, de surcroît sans indication préalable du changement de direction, obligeant le véhicule dépassé à freiner de façon énergique afin d'éviter une collision. L'intéressé a, en effet, ainsi mis sérieusement en danger la sécurité d'autrui et a violé l'art. 34 al. 3 LCR.</w:t>
      </w:r>
    </w:p>
    <w:p>
      <w:r>
        <w:rPr>
          <w:b/>
        </w:rPr>
        <w:t>E. 8.2</w:t>
      </w:r>
    </w:p>
    <w:p>
      <w:r>
        <w:t>Il convient encore d'examiner la peine infligée à l'appelant ainsi que la quotité du jour-amende.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 ATF 134 IV 17 c. 2.1 ; ATF 129 IV 6 c. 6.1).</w:t>
      </w:r>
    </w:p>
    <w:p>
      <w:r>
        <w:t>- 19 -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w:t>
      </w:r>
    </w:p>
    <w:p>
      <w:r>
        <w:rPr>
          <w:b/>
        </w:rPr>
        <w:t>E. 8.2.2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(TF 6B_845/2009 du</w:t>
      </w:r>
    </w:p>
    <w:p>
      <w:r>
        <w:rPr>
          <w:b/>
        </w:rPr>
        <w:t>E. 8.2.3</w:t>
      </w:r>
    </w:p>
    <w:p>
      <w:r>
        <w:t>En l'espèce, s'agissant de la peine, il faut tenir compte des antécédents de l'appelant, qui a déjà été condamné le 21 novembre 2007 par le Préfet de Lausanne à une peine pécuniaire de 15 jours-amende à 50 fr. le jour, avec sursis pendant deux ans, ainsi qu'à une amende de 400 fr., pour violation grave des règles de la circulation routière. Il faut relever que cette condamnation ne l’a pas empêché de réitérer la même activité délictueuse très peu de temps après l'échéance du délai d'épreuve imparti</w:t>
      </w:r>
    </w:p>
    <w:p>
      <w:r>
        <w:t>- 20 - le 21 novembre 2007. Par ailleurs, le comportement de J.________ lors de la procédure doit également être pris en considération. Ce dernier n'a pas démontré de prise de conscience de la gravité de ses actes, ni ne s'est remis en cause. Au contraire, lors de l'audience devant la Cour de céans, le prévenu est revenu sur les déclarations qu'il avait faites aux policiers le 2 janvier 2010 ainsi qu'à l'audience de jugement et a affirmé n'avoir pas roulé à 145 km/h. Par ailleurs, le tribunal a très justement retenu à charge de l'appelant le concours d'infractions au sens de l'art. 49 al. 1 CP. Pour ce qui est de la quotité du jour-amende, l'appelant a déclaré, lors de l'audience de jugement ainsi que devant la Cour de céans, qu'il était à la retraite et qu'il percevait un revenu mensuel total de 9'245 fr., duquel il fallait déduire ses dépenses mensuelles se montant à 1'343 fr. 70. L'ensemble de ce qui précède a été pris en compte par la première juge. Elle ne s'est pas fondée sur des critères étrangers aux art. 34 et 47 CP et n'est pas sortie du cadre légal en fixant une peine pécuniaire de quarante-cinq jours-amende à 200 fr. le jour, avec sursis pendant quatre ans, ainsi qu'à une amende de 2'000 fr., la peine privative de liberté de substitution étant de dix jours. La quotité de la peine infligée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Il en va de même du montant du jour-amende qui correspond à la situation personnelle et économique de J.________ au moment du jugement et qui respecte dès lors l'art. 34 CP, ce qui n'est d'ailleurs pas contesté. 9. En définitive, l'appel de J.________ doit être rejeté et le jugement attaqué confirmé dans son entier.</w:t>
      </w:r>
    </w:p>
    <w:p>
      <w:r>
        <w:t>- 21 - Vu l'issue de la cause, les frais de la procédure d'appel, par 2'050 fr. (art. 21 al. 1 et 2 TFJP [Tarif des frais judiciaires pénaux du 28 septembre 2010, RSV 312.03.1]), doivent être mis à la charge de J.________, qui succombe (art. 428 al. 1 CPP).</w:t>
      </w:r>
    </w:p>
    <w:p>
      <w:r>
        <w:rPr>
          <w:b/>
        </w:rPr>
        <w:t>E. 11</w:t>
      </w:r>
    </w:p>
    <w:p>
      <w:r>
        <w:t>janvier 2011 c. 1.1.1; ATF 134 IV 60 c. 6),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