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PE09.029725 vom 18. Dezember 2012</w:t>
      </w:r>
    </w:p>
    <w:p>
      <w:r>
        <w:t>VD Tribunal cantonal, 2012-12-18, FR</w:t>
      </w:r>
    </w:p>
    <w:p>
      <w:r>
        <w:rPr>
          <w:b/>
        </w:rPr>
        <w:t xml:space="preserve">Quelle: </w:t>
      </w:r>
      <w:r>
        <w:t>https://mcp.opencaselaw.ch/entscheid/vd_gerichte_PE09.029725</w:t>
      </w:r>
    </w:p>
    <w:p>
      <w:r>
        <w:t>FR: VD_GERICHTE PE09.029725 du 18 décembre 2012</w:t>
      </w:r>
    </w:p>
    <w:p>
      <w:r>
        <w:t>IT: VD_GERICHTE PE09.029725 del 18 dicembre 2012</w:t>
      </w:r>
    </w:p>
    <w:p>
      <w:pPr>
        <w:pStyle w:val="Heading2"/>
      </w:pPr>
      <w:r>
        <w:t>Erwägungen</w:t>
      </w:r>
    </w:p>
    <w:p>
      <w:r>
        <w:rPr>
          <w:b/>
        </w:rPr>
        <w:t>E. 27</w:t>
      </w:r>
    </w:p>
    <w:p>
      <w:r>
        <w:t>août 2007, N.________ a écrit ce qui suit à M.________ et son épouse : « Messieurs, Madame, par la présente je vous informe que je résilie mon</w:t>
      </w:r>
    </w:p>
    <w:p>
      <w:r>
        <w:t>- 18 - contrat de travail pour le 30 septembre 2007. » Il existe une différence entre le fait de résilier le contrat de travail (fin des rapports de travail) et le fait de ne plus se présenter au travail, l’un n’étant pas synonyme de l’autre. Il est ainsi admissible de ne plus se présenter au travail tout en ayant un contrat qui se termine ultérieurement. Ce qui est déterminant ici, c’est de savoir si N.________ est retournée sur son lieu de travail ou pas après le viol. Or, la plaignante a toujours affirmé ne pas être retournée travailler au restaurant après le viol, ce qu’elle a encore confirmé aux débats d’appel. M.________ a lui-même admis qu’elle n’est plus revenue travailler après le mois d’août (PV aud. 4, R. 16). La plaignante a enfin précisé s’être rendue au restaurant en octobre 2007 uniquement pour régler les questions administratives en lien avec la fin de son contrat de travail et le maintien de sa patente en gérance jusqu’au mois de décembre 2007 (P. 8/2 et 8/3). Les premiers juges ont ainsi douté sur un fait admis par la défense, leur motivation étant dès lors arbitraire. Compte tenu de ce qui précède, il ne subsiste aucun doute raisonnable s’agissant du lieu où le viol a été commis. Il n’y a pas lieu de douter, non plus, du fait que N.________ a clairement tenté de résister à son agresseur, tant par la parole que par les gestes, et que ce dernier se rendait compte que sa victime n’était pas consentante. Il n’est pas indispensable que le tribunal ait acquis la conviction absolue (jgt., p. 13) que le prévenu ait passé outre la résistance de sa victime. Il faut et il suffit qu’il n’y ait pas de doutes sérieux et irréductibles (doutes raisonnables) que la plaignante ait exprimé son absence de consentement. Les premiers juges ont d’ailleurs admis que N.________ s’était opposée aux actes à connotation sexuelle qui s’étaient déroulés dans le local à Savigny puisqu’ils ont envisagé de retenir la contravention à l’art. 198 CP si cette dernière n’était pas prescrite (jgt., p. 13). Il est dès lors insoutenable de penser qu’elle ne se soit pas opposée clairement à l’acte sexuel, autrement plus grave, qui s’est produit dans le restaurant. Partant, M.________ doit être reconnu coupable de viol, les conditions de cette infraction étant réalisées. L’appel du Ministère public doit être admis sur ce point.</w:t>
      </w:r>
    </w:p>
    <w:p>
      <w:r>
        <w:t>- 19 - 4. Le Procureur de l’arrondissement de Lausanne a requis le prononcé d’une peine privative de liberté de trois ans, assortie du sursis partiel sur une période de deux ans, avec un délai d’épreuve arrêté à trois ans. 4.1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comportement de l'auteur postérieurement à l'acte constitue un élément à prendre en compte lors de la fixation de la peine, pour autant qu'il permette d'en tirer des déductions sur l'intéressé et son attitude par rapport à ses actes (TF 6B_203/2010 du 27 mai 2010 c. 5.3.4). Une prise de conscience, par l'auteur, du caractère illicite de ses actes et le repentir sont considérés comme des éléments autorisant une diminution de la peine (ATF 121 IV 202 c. 2d/cc; TF 6B_203/2010 du 27 mai 2010 c. 5.3.4). b) L'art. 43 al. 1 CP prévoit que le juge peut suspendre partiellement l'exécution d'une peine pécuniaire, d'un travail d'intérêt</w:t>
      </w:r>
    </w:p>
    <w:p>
      <w:r>
        <w:t>- 20 -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4 p. 4 ss, ainsi que c. 5 p. 9 ss, spéc. c. 5.5.2 p. 14 ss;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c) Lorsqu’il accorde le sursis, le juge fixe un délai d’épreuve de deux à cinq ans (art. 44 al. 1 CP). Les critères de fixation de ce délai ne sont pas précisés par la loi. La durée du délai d'épreuve ne saurait être fixée uniquement d'après la durée de la peine ou la gravité de l'infraction. Bien plus, le critère déterminant est le risque de récidive, qui se détermine d’après le caractère du condamné (Roth et Moreillon [éd.], Commentaire romand, Bâle 2009, n. 7 ad art. 44 CP). Le juge doit tenir compte des circonstances du cas d’espèce, en particulier de la personnalité et du caractère du condamné ainsi que du risque de récidive; plus ce risque est sérieux et plus le délai d’épreuve sera long (Favre/Pellet/Stoudmann, Code pénal annoté, 3ème éd. 2007, n. 2 ad art. 44 CP). Dans la mesure où la décision est fondée sur tous les éléments pertinents pour le pronostic futur, le juge jouit en la matière d'un large pouvoir d'appréciation (ATF 128 IV 193; ATF 118 IV 97, JT 1992 I 783 c. 2a; ATF 116 IV 279 c. 2a).</w:t>
      </w:r>
    </w:p>
    <w:p>
      <w:r>
        <w:t>- 21 - 4.2 Dans le cas d’espèce, la culpabilité de M.________ est lourde. Le viol est en soi un crime grave qui suppose un mépris total pour l’intégrité physique et psychique de la victime. A charge, il convient de retenir que le prévenu a agi pour satisfaire ses propres pulsions de manière égoïste et sans tenir compte de l’absence de consentement de la plaignante. Il convient également de retenir à charge que le prévenu n’a pas cessé de nier les faits, jusqu’en appel, allant même jusqu’à dénigrer N.________, laissant entendre qu’elle agissait uniquement pour obtenir de l’argent de sa part. La Cour de céans ne retient aucun élément à décharge. Compte tenu de ce qui précède, une peine privative de liberté de trente mois se justifie au regard de l’infraction commise, de la culpabilité de M.________ et de sa situation personnelle. Son comportement, qui témoigne d’une absence de prise de conscience de la gravité de ses actes, est un élément de mauvais pronostic sur le plan subjectif. On relève cependant l’absence d’antécédents pénaux du prévenu, qui a une vie professionnelle stable. Ces derniers éléments permettent de contrebalancer en partie les facteurs contraires et excluent de pouvoir poser un pronostic totalement défavorable. Partant, il y a lieu d’assortir la peine du sursis partiel. La peine ferme sera ainsi de dix mois et la partie assortie du sursis de vingt mois. Un délai d'épreuve de deux ans s'avère suffisant pour prévenir tout risque de récidive. L’appel du Ministère public est partiellement admis sur ce point. II. Appel de N.________ 5. N.________ a conclu à la condamnation de M.________ pour viol, à une peine que justice dira. Au regard des considérants qui précèdent, l’appel de N.________ est admis sur ce point.</w:t>
      </w:r>
    </w:p>
    <w:p>
      <w:r>
        <w:t>- 22 - 6. Dans un second grief, N.________ a conclu que M.________ soit reconnu son débiteur et lui doit immédiat paiement d’un montant de 20'000 fr., avec intérêts à 5% l’an dès le 1er septembre 2007 à titre d’indemnité pour tort moral. 6.1 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(Jeandin/Matz, in Kuhn/Jeanneret [éd.], op. cit., n° 9 ad art. 118 CPP et n° 16 ad art. 122 CPP). En vertu de l’art. 49 al. 1 CO, celui qui subit une atteinte illicite à sa personnalité a droit à une somme d’argent à titre de réparation morale, pour autant que la gravité de l’atteinte le justifie et que l’auteur ne lui ait pas donné satisfaction autrement. Cette disposition exige que l’atteinte dépasse la mesure de ce qu’une personne doit normalement supporter, que ce soit sur le plan de la durée des souffrances ou de leur intensité (Bucher, Personnes physiques et protection de la personnalité, 4e éd., Bâle, Genève, Munich 1999, n. 603, p. 141; Tercier, Le nouveau droit de la personnalité, Zurich 1984, nn. 2047 ss ; Deschenaux et Tercier, La responsabilité civile, 2e éd., Berne 1982, nn. 24 ss). On définit le tort moral comme les souffrances physiques ou psychiques que ressent la personne lésée à la suite d’une atteinte à la personnalité (Tercier, op. cit., n. 2029, p. 267).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w:t>
      </w:r>
    </w:p>
    <w:p>
      <w:r>
        <w:t>- 23 -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 6.2 En l’espèce, les premiers juges ont admis que N.________ était crédible lorsqu’elle disait être en état de grande souffrance (jgt., p. 12). A la suite du viol, elle a suivi une psychothérapie de mai 2008 à novembre 2009 auprès de la psychologue Z.________, puis a eu cinq entretiens au CHUV du 19 octobre au 2 décembre 2011. Les thérapeutes ont relevé que N.________ présentait des symptômes de stress post-traumatique, d’anxiété et de retrait social (P. 20) et qu’à la suite du viol, elle présentait des troubles de la sexualité en lien avec une impossibilité à supporter la pénétration (P. 51). Aux débats d’appel, N.________ a précisé qu’elle poursuivait encore une thérapie de manière irrégulière et quand le besoin se faisait sentir afin de retrouver une vie de femme à part entière. Compte tenu de ce qui précède, le montant de 20'000 fr., requis par l’appelante à titre d’indemnité pour le tort moral subi est adéquat. III. L’appel joint de M.________ 7. M.________ reproche aux premiers juges d’avoir mis à sa charge le paiement d’un montant de 2'000 fr., en faveur de la plaignante à titre de réparation pour tort moral ainsi que la mise à sa charge des frais de la procédure. Compte tenu de sa culpabilité démontrée ci-dessus, l’appel joint de M.________ doit être intégralement rejeté dans le sens des considérants qui précèdent.</w:t>
      </w:r>
    </w:p>
    <w:p>
      <w:r>
        <w:t>- 24 - 8. En définitive, l’appel du Ministère public est partiellement admis en ce sens que M.________ est condamné pour viol, à une peine privative de liberté de trente mois, dont vingt assortis du sursis avec un délai d’épreuve de deux ans. L’appel de N.________ est admis. L’appel joint de M.________ est rejeté. 9. Comme le sort de l’action pénale est modifié en deuxième instance par la condamnation de M.________, ce dernier doit supporter, outre les frais de la procédure d'appel, par 2'460 fr. (art. 21 al. 1 et 2 TFJP [Tarif des frais judiciaires pénaux du 28 septembre 2010, RSV 312.03.1]), les frais de justice de première instance qui s'élèvent à 20'622 fr., y compris les indemnités allouées aux avocats d’office (art. 426 al. 1 CPP). L’indemnité de défenseur d'office allouée pour la procédure d’appel, par 2’678 fr. 40, TVA et débours inclus, à Me Eduardo Redondo est mise à la charge de M.________. Il en va de même de l’indemnité de conseil d’office allouée pour la procédure d’appel, par 2'635 fr. 20, TVA et débours inclus, à Me Frank Tièche. M.________ ne sera tenu de rembourser à l’Etat le montant des indemnités allouées à son avocat d’office et à celui de N.________ que lorsque sa situation financière le permettra.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