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PE09.027967 vom 27. Juni 2012</w:t>
      </w:r>
    </w:p>
    <w:p>
      <w:r>
        <w:t>VD Tribunal cantonal, 2012-06-27, FR</w:t>
      </w:r>
    </w:p>
    <w:p>
      <w:r>
        <w:rPr>
          <w:b/>
        </w:rPr>
        <w:t xml:space="preserve">Quelle: </w:t>
      </w:r>
      <w:r>
        <w:t>https://mcp.opencaselaw.ch/entscheid/vd_gerichte_PE09.027967</w:t>
      </w:r>
    </w:p>
    <w:p>
      <w:r>
        <w:t>FR: VD_GERICHTE PE09.027967 du 27 juin 2012</w:t>
      </w:r>
    </w:p>
    <w:p>
      <w:r>
        <w:t>IT: VD_GERICHTE PE09.027967 del 27 giugno 2012</w:t>
      </w:r>
    </w:p>
    <w:p>
      <w:pPr>
        <w:pStyle w:val="Heading2"/>
      </w:pPr>
      <w:r>
        <w:t>Erwägungen</w:t>
      </w:r>
    </w:p>
    <w:p>
      <w:r>
        <w:rPr>
          <w:b/>
        </w:rPr>
        <w:t>E. 1</w:t>
      </w:r>
    </w:p>
    <w:p>
      <w:r>
        <w:t>Ressortissant suisse, né le 26 février 1972, S.________ est divorcé et père de deux enfants nés les 23 mai 2001 et 13 novembre 2004. lI vit avec sa compagne J.________, mère de son cadet; il est titulaire</w:t>
      </w:r>
    </w:p>
    <w:p>
      <w:r>
        <w:t>- 8 - d'un CFC d’électricien radio-TV, ainsi que d'un MBA de marketing acquis dans une université britannique. Après avoir travaillé un certain temps comme consultant, il a créé, avec sa compagne J.________, la société [...] dont il était associé gérant avec signature individuelle. La faillite de cette société, prononcée le 12 août 2004, a été suspendue faute d’actifs. Le prévenu paraît ensuite avoir émargé aux Services sociaux et avoir occupé quelques emplois temporaires. En 2007, il s'est vu confier un poste de directeur marketing par une start-up valaisanne, activité dont il retirait un revenu mensuel de 5’000 fr. environ. Son mandat ayant pris fin, il a recommencé à dépendre des services sociaux par intermittence. Au printemps 2009, S.________, qui n'a aucune connaissance en gemmologie, a décidé de se lancer dans le courtage de diamants. Il a alors prêté son concours à plusieurs ventes de grandes quantités de diamants bruts, dont aucune ne s’est conclue. Cette dernière activité ne lui a, dès lors, rien rapporté. Après une nouvelle période d’inactivité, S.________ a entrepris, il y a peu de temps, une reconversion professionnelle sous l’égide de l’office régional de placement (ORP). Entre le jugement de première instance et l'audience d'appel, il a envoyé diverses correspondances pour offrir ses services.</w:t>
      </w:r>
    </w:p>
    <w:p>
      <w:r>
        <w:rPr>
          <w:b/>
        </w:rPr>
        <w:t>E. 2</w:t>
      </w:r>
    </w:p>
    <w:p>
      <w:r>
        <w:t>S.________ ne conteste pas les faits de la cause, ni non plus sa condamnation pour violation d'une obligation d'entretien et faux dans les titres; il demande à être condamné pour filouterie d'auberge et non pas pour escroquerie.</w:t>
      </w:r>
    </w:p>
    <w:p>
      <w:r>
        <w:rPr>
          <w:b/>
        </w:rPr>
        <w:t>E. 2.1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Sur le plan objectif, l’escroquerie réprimée par l’art. 146 CP suppose en particulier une tromperie astucieuse. Selon la jurisprudence, il y a tromperie astucieuse au sens de l’art. 146 CP lorsque l’auteur recourt à un édifice de mensonges, à des manoeuvres frauduleuses ou à une mise</w:t>
      </w:r>
    </w:p>
    <w:p>
      <w:r>
        <w:t>- 13 -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du 27 octobre 2011 6B_314/2011 c. 3.2.1 et les références citées).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Finalement,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(ATF 126 IV 165 c. 2a p. 172). Il n’est donc pas nécessaire que la dupe soit exempte de la moindre faute (Corboz, Les infractions en droit suisse, vol. I, 3ème éd., 2010, n. 17 ad art. 146 CP). L’arrêt précité (ATF 125 IV 124 c. 3a p. 127) concerne précisément un cas de séjour impayé dans un hôtel. Le Tribunal fédéral y</w:t>
      </w:r>
    </w:p>
    <w:p>
      <w:r>
        <w:t>- 14 - examine le rapport entre l’infraction de filouterie d’auberge et l’infraction d’escroquerie et rappelle que la première ne peut être retenue que si les éléments constitutifs de la seconde ne sont pas réunis. S’agissant de ces derniers, la Haute Cour rappelle que le client qui trompe l’hôtelier quant à sa volonté et sa capacité de payer se rend de ce seul fait coupable d’escroquerie; encore faut-il que le client ait entrepris des manoeuvres particulières pour faire croire à sa capacité et à sa volonté de payer et que l’hôtelier n’ait pas la possibilité de vérifier la solvabilité de l’hôte. 2.2.1 En l’espèce, requis de faire un dépôt de garantie à son arrivée, le prévenu a promis un prochain versement supérieur à celui attendu, expliquant vouloir prolonger son séjour par rapport à celui réservé. Après plusieurs réclamations de l’hôtel, il a fourni, une quinzaine de jours plus tard, un document à en-tête de l’ [...] attestant d’un ordre de paiement du</w:t>
      </w:r>
    </w:p>
    <w:p>
      <w:r>
        <w:rPr>
          <w:b/>
        </w:rPr>
        <w:t>E. 5</w:t>
      </w:r>
    </w:p>
    <w:p>
      <w:r>
        <w:t>Vu le sort de l'appel, les frais d'appel, par 4'294 fr. sont mis à la charge d’S.________ à raison des deux tiers (2'862 fr. 65), y compris les deux tiers de l’indemnité allouée à son défenseur d’office, le solde des frais d’appel (soit, 1'431 fr. 35) étant laissé à la charge de l’Etat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