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PE09.026529 vom 9. Februar 2012</w:t>
      </w:r>
    </w:p>
    <w:p>
      <w:r>
        <w:t>VD Tribunal cantonal, 2012-02-09, FR</w:t>
      </w:r>
    </w:p>
    <w:p>
      <w:r>
        <w:rPr>
          <w:b/>
        </w:rPr>
        <w:t xml:space="preserve">Quelle: </w:t>
      </w:r>
      <w:r>
        <w:t>https://mcp.opencaselaw.ch/entscheid/vd_gerichte_PE09.026529</w:t>
      </w:r>
    </w:p>
    <w:p>
      <w:r>
        <w:t>FR: VD_GERICHTE PE09.026529 du 9 février 2012</w:t>
      </w:r>
    </w:p>
    <w:p>
      <w:r>
        <w:t>IT: VD_GERICHTE PE09.026529 del 9 febbraio 2012</w:t>
      </w:r>
    </w:p>
    <w:p>
      <w:pPr>
        <w:pStyle w:val="Heading2"/>
      </w:pPr>
      <w:r>
        <w:t>Erwägungen</w:t>
      </w:r>
    </w:p>
    <w:p>
      <w:r>
        <w:rPr>
          <w:b/>
        </w:rPr>
        <w:t>E. 1</w:t>
      </w:r>
    </w:p>
    <w:p>
      <w:r>
        <w:t>A.B.________ est née le 22 février 1960 à Zdrimci, en Bosnie Herzégovine. Elle est divorcée et n'a pas d'enfant à charge. Habitant à Bienne, elle travaille comme soignante et gère un centre de méditation. Ses revenus mensuels oscillent entre rien et 2'000 francs. Le casier judiciaire suisse de A.B.________ est vierge de toute inscription.</w:t>
      </w:r>
    </w:p>
    <w:p>
      <w:r>
        <w:rPr>
          <w:b/>
        </w:rPr>
        <w:t>E. 1.1</w:t>
      </w:r>
    </w:p>
    <w:p>
      <w:r>
        <w:t>Interjeté dans les formes et délais légaux (cf. art. 399 CPP) contre le jugement d’un tribunal de première instance ayant clos la procédure (art. 398 al. 1 CPP), l'appel de A.B.________ est recevable.</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w:t>
      </w:r>
    </w:p>
    <w:p>
      <w:r>
        <w:t>A.B.________ contestant sa condamnation, il convient d'examiner si elle s'est rendue coupable de violation de domicile.</w:t>
      </w:r>
    </w:p>
    <w:p>
      <w:r>
        <w:rPr>
          <w:b/>
        </w:rPr>
        <w:t>E. 2.1</w:t>
      </w:r>
    </w:p>
    <w:p>
      <w:r>
        <w:t>Aux termes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sera,sur plainte, puni d’une peine privative de liberté de trois ans au plus ou d’une peine pécuniaire. Le droit au domicile ainsi protégé appartient à celui qui détient le pouvoir de disposer des lieux, en vertu d'un droit réel ou personnel ou encore d'un rapport de droit public. La violation de domicile peut revêtir deux formes: soit l'auteur pénètre dans les lieux contre la volonté de l'ayant droit, soit il y demeure au mépris de l'injonction de sortir à lui adressée par l'ayant droit. Dans la première hypothèse, l'infraction est consommée dès que l'auteur s'introduit contre la volonté de l'ayant droit dans le domaine clos. Il y a intrusion illicite aussitôt que l'auteur pénètre dans un local sans l'autorisation de celui qui a le pouvoir d'en disposer. La</w:t>
      </w:r>
    </w:p>
    <w:p>
      <w:r>
        <w:t>- 9 - seconde hypothèse vise le cas où l'auteur se trouve déjà dans les lieux et qu'il n'y a pas pénétré contre la volonté de l'ayant droit. L'infraction est alors commise lorsque l'auteur ne quitte pas les lieux, malgré l'ordre intimé en ce sens par l'ayant droit (TF 6B_95/2010 du 17 mai 2010, consid. 1.2 et les références citées). La volonté de l'ayant droit d'autoriser l'accès peut être manifestée oralement, par écrit, par geste ou résulter des circonstances. Dans ce dernier cas, il faut examiner si la volonté de l'ayant droit était suffisamment reconnaissable en fonction des circonstances (ATF 128 IV 81 c. 4a et les références citées).</w:t>
      </w:r>
    </w:p>
    <w:p>
      <w:r>
        <w:rPr>
          <w:b/>
        </w:rPr>
        <w:t>E. 2.2</w:t>
      </w:r>
    </w:p>
    <w:p>
      <w:r>
        <w:t>En l'occurrence, le tribunal de police a retenu que l'appelante s'est introduite au domicile de N.________ sans y être invitée, en l'absence de ce dernier et alors que leur relation était terminée depuis plusieurs mois. Le premier juge a retenu que l'appelante ne pouvait se croire autorisée à entrer au seul motif que la porte n'était pas fermée à clé. Le fait que l'appelante avait averti le plaignant de son intention de se rendre à son domicile n'y change rien et elle ne pouvait déduire du silence de l'intéressé qu'il consentait à sa venue. Le tribunal a, en outre retenu que l'infraction de violation de domicile était également réalisée au motif que A.B.________ avait refusé de quitter les lieux malgré l'injonction du plaignant (jgt., p. 8). Les conclusions du tribunal de police, conformes à la jurisprudence fédérale citée plus haut, ne prêtent pas le flanc à la critique et doivent être confirmées. En s'introduisant chez le plaignant en son absence et en refusant de quitter les lieux alors que ce dernier le lui a demandé à plusieurs reprises, l'infraction visée à l'art. 186 CP est en effet doublement réalisée: une première fois lorsque A.B.________ a pénétré sans droit dans l'habitation du plaignant, car elle ne pouvait déduire des circonstances qu'elle avait été autorisée à le faire par l'ayant droit; une seconde fois alors qu'elle est demeurée sur les lieux au mépris des injonctions répétées du plaignant de quitter son appartement. L'appelante doit donc être reconnue coupable de violation de domicile. Le grief, mal fondé, ne peut qu'être rejeté.</w:t>
      </w:r>
    </w:p>
    <w:p>
      <w:r>
        <w:t>- 10 -</w:t>
      </w:r>
    </w:p>
    <w:p>
      <w:r>
        <w:rPr>
          <w:b/>
        </w:rPr>
        <w:t>E. 3</w:t>
      </w:r>
    </w:p>
    <w:p>
      <w:r>
        <w:t>La culpabilité de l'appelante étant établie, il convient d'examiner si la peine qui lui a été infligée, soit 30 jours-amende à 10 fr., assortie du sursis pendant deux ans et une amende de 100 fr., est conforme au droit.</w:t>
      </w:r>
    </w:p>
    <w:p>
      <w:r>
        <w:rPr>
          <w:b/>
        </w:rPr>
        <w:t>E. 3.1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Conformément à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3.2</w:t>
      </w:r>
    </w:p>
    <w:p>
      <w:r>
        <w:t>En l'occurrence, le tribunal de police a retenu à charge l'entêtement de A.B.________ à vouloir continuer à s'immiscer dans la vie de N.________. Le premier juge a retenu à décharge l'absence d'antécédents jgt., p 8), bien que le Tribunal fédéral considère que, sauf circonstances exceptionnelles, cet élément n'a plus à être pris en considération dans un sens atténuant (136 IV 1 c. 2.6.4). Le montant du jour-amende a été fixé en tenant compte de la situation économique de l'appelante et un pronostic favorable, permettant l'octroi du sursis, a été posé dans la mesure où cette dernière s'était engagée à ne plus contacter N.________ (jgt., p. 9).</w:t>
      </w:r>
    </w:p>
    <w:p>
      <w:r>
        <w:t>- 11 - Au vu de l'ensemble de ces éléments, la peine prononcée est adéquate au regard de l'infraction commise, de la culpabilité de l'appelante et de sa situation personnelle. Elle ne relève ni d’un excès ou ni d'un abus du pouvoir d’appréciation du premier juge et elle doit être confirmée.</w:t>
      </w:r>
    </w:p>
    <w:p>
      <w:r>
        <w:rPr>
          <w:b/>
        </w:rPr>
        <w:t>E. 4</w:t>
      </w:r>
    </w:p>
    <w:p>
      <w:r>
        <w:t>En définitive, l'appel de A.B.________ est rejeté et le jugement entrepris intégralement confirmé. Vu l'issue de la cause, les frais de la procédure d'appel doivent être mis à la charge de A.B.________, par 1'060 fr. (art. 422 CPP; art. 21 al. 1 et 2 TFJP [Tarif des frais judiciaires pénaux du 28 septembre 2010, RSV 312.03.1]).</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