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PE09.026053 vom 10. Oktober 2014</w:t>
      </w:r>
    </w:p>
    <w:p>
      <w:r>
        <w:t>VD Tribunal cantonal, 2014-10-10, FR</w:t>
      </w:r>
    </w:p>
    <w:p>
      <w:r>
        <w:rPr>
          <w:b/>
        </w:rPr>
        <w:t xml:space="preserve">Quelle: </w:t>
      </w:r>
      <w:r>
        <w:t>https://mcp.opencaselaw.ch/entscheid/vd_gerichte_PE09.026053</w:t>
      </w:r>
    </w:p>
    <w:p>
      <w:r>
        <w:t>FR: VD_GERICHTE PE09.026053 du 10 octobre 2014</w:t>
      </w:r>
    </w:p>
    <w:p>
      <w:r>
        <w:t>IT: VD_GERICHTE PE09.026053 del 10 ottobre 2014</w:t>
      </w:r>
    </w:p>
    <w:p>
      <w:pPr>
        <w:pStyle w:val="Heading2"/>
      </w:pPr>
      <w:r>
        <w:t>Erwägungen</w:t>
      </w:r>
    </w:p>
    <w:p>
      <w:r>
        <w:rPr>
          <w:b/>
        </w:rPr>
        <w:t>E. 5</w:t>
      </w:r>
    </w:p>
    <w:p>
      <w:r>
        <w:t>L’appelant conteste également tout acte à caractère sexuel commis au préjudice de son fils B.S.________. En substance, il soutient que les accusations seraient dues à une suggestion soit de la mère du garçon, soit des sœurs Z.________, ou encore qu’il s’agirait de fantaisies inspirées par des scènes naturistes ou d’interprétations erronées de gestes de lavage du sexe.</w:t>
      </w:r>
    </w:p>
    <w:p>
      <w:r>
        <w:rPr>
          <w:b/>
        </w:rPr>
        <w:t>E. 5.1</w:t>
      </w:r>
    </w:p>
    <w:p>
      <w:r>
        <w:t>Pour apprécier la crédibilité des accusations concernant B.S.________ (cf., jgt., p. 127 à 145), les premiers juges se sont tout d’abord fondés sur le rapport établi le 2 octobre 2013 par le centre de consultation de maltraitance familial « [...] » (dossier joint, P. 5/1), qui procédait à une évaluation de l’enfant depuis février 2013. Selon ce rapport, de nombreux éléments anamnestiques et cliniques parlaient en faveur d’abus sexuels ; il en allait ainsi du comportement hypersexualisé de B.S.________ depuis l’âge de quatre ans (frottement de son sexe, masturbation, oralité), des troubles du comportement (notamment à l’évocation de son père), d’un développement hormonal anormalement précoce, d’angoisses ou encore de rapports traumatiques aux hommes. Les premiers juges ont également tenu compte de l’attestation établie le 4 mai 2012 par les médecins du SUPEA (en charge du suivi de l’enfant depuis mai 2008) mentionnant non seulement un état alarmant de souffrance psychique que le jeune garçon ne parvenait pas à verbaliser, mais également un débordement ainsi qu’une déstabilisation à la moindre référence à son père. Quant à la Dresse [...], pédopsychiatre du garçon, elle a affirmé que son patient avait vécu un traumatisme sans toutefois pouvoir dire de quel type; par ailleurs, au vu de certains symptômes, notamment du comportement hypersexualisé de l’enfant, elle a estimé qu’un lien pouvait être fait avec des abus sexuels.</w:t>
      </w:r>
    </w:p>
    <w:p>
      <w:r>
        <w:t>- 47 - Outre ces rapports, les premiers juges ont tenu compte des déclarations faites par B.S.________ à sa mère en janvier 2013, selon lesquelles son père lui avait « touché le zizi à de nombreuses reprises pour voir s’il ressemblait à un champignon » et du fait que celle-ci avait pu observé un comportement sexuel de son fils B.S.________ sur son petit frère. Ils ont également retenu les mises en cause de B.Z.________ faites à l’automne 2009 déjà, puis en juillet 2013, s’agissant d’abus sexuels dont aurait été victime B.S.________, relevant que C.S.________ avait également recueilli des confidences de sa fille sur ce point. Quant à A.Z.________, elle avait pu en parler directement avec B.S.________, celui-ci lui ayant alors confié qu’il « s’était fait toucher le zizi et il a dû toucher son [celui du prévenu] zizi » et qu’il « allait se faire punir comme jamais s’il disait ce qu’il avait fait ». Le tribunal a également relevé les précisions que le garçon avait apportées à sa mère au sujet du liquide séminal de son père et le fait que celui-ci connaissait ces détails car il « devait jouer avec le zizi de son papa ». Il a enfin été mis en évidence le comportement de l’intéressé lors de ses auditions, notamment sa réticence à s’exprimer, son agitation et ses provocations, ainsi que ses déclarations sur les actes qu’il avait été amenés à faire avec son père, comportant des détails sur le sexe et l’éjaculation de ce dernier.</w:t>
      </w:r>
    </w:p>
    <w:p>
      <w:r>
        <w:rPr>
          <w:b/>
        </w:rPr>
        <w:t>E. 5.2</w:t>
      </w:r>
    </w:p>
    <w:p>
      <w:r>
        <w:t>Encore une fois, le Cour de céans ne peut que se rallier à l’appréciation des premiers juges qui est adéquate. Le trouble sexuel et comportemental du garçon persistant à l’évocation de son père, la souffrance psychique et, finalement, les confidences comportant des détails mettent à néant les moyens de défense de l’appelant. Ces éléments démontrent que l’enfant n’a rien inventé et qu’il n’a pas davantage confondu geste d’hygiène et masturbation. Il a certes refusé de s’exprimer pendant plusieurs années et ses révélations à la police sont intervenues tardivement. Toutefois, cela n’entache pas encore la crédibilité de ses propos, lesquels n’ont jamais</w:t>
      </w:r>
    </w:p>
    <w:p>
      <w:r>
        <w:t>- 48 - varié. Comme relevé par la Ministère public, il n’y a eu aucune prise en charge verbalisée de B.S.________. Par ailleurs, c’est vraisemblablement la suspension du droit de visite pendant sept mois en octobre 2013 qui lui a permis de se positionner par rapport à son père. Par ailleurs, rien n’a été suggéré que ce soit par C.________ ou par les sœurs Z.________. En effet, l’attitude hypersexualisée de B.S.________ a pu être observée par sa mère bien avant qu’il ne se confie aux deux fillettes. De surcroît, C.________, qui avait des suspicions depuis de nombreuses années, a tardé à intervenir auprès des autorités pénales. Pour le surplus, la Cour de céans ne peut que renvoyer aux considérants du jugement entrepris qui sont méticuleux, rigoureux et exhaustifs, et qui mettent en exergue la cohérence des déclarations de B.S.________ dans leur chronologie. Il n’existe aucun doute quant à la réalité des abus sexuels dont a été victime B.S.________ de la part son père.</w:t>
      </w:r>
    </w:p>
    <w:p>
      <w:r>
        <w:rPr>
          <w:b/>
        </w:rPr>
        <w:t>E. 6</w:t>
      </w:r>
    </w:p>
    <w:p>
      <w:r>
        <w:t>A l’audience d’appel, l’appelant a produit une expertise privée réalisée le 7 mai 2015 par le Dr V.________.</w:t>
      </w:r>
    </w:p>
    <w:p>
      <w:r>
        <w:rPr>
          <w:b/>
        </w:rPr>
        <w:t>E. 6.1</w:t>
      </w:r>
    </w:p>
    <w:p>
      <w:r>
        <w:t>De jurisprudence constante, une expertise privée n'a pas la même valeur probante qu'une expertise judiciaire, l'expert mandaté par une partie n'étant pas indépendant et impartial (ATF 137 II 266 c. 3.2). Toutefois, le juge n’en est pas moins tenu d’examiner,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Le juge doit examiner si l’expertise privée est propre à mettre en doute, sur les points litigieux importants, l’opinion et les conclusions de l’expert mandaté par l’autorité (ATF 137 II 266 c. 3.2; ATF 125 V 351 c. 3c). Peut, par ailleurs, constituer une raison de s’écarter d’une expertise judiciaire, le fait que celle-ci contient des contradictions, ou qu’une surexpertise en infirme les conclusions de manière convaincante (ATF 125 V 351 c. 3b/aa et les références citées). En procédure pénale, ces principes trouvent application</w:t>
      </w:r>
    </w:p>
    <w:p>
      <w:r>
        <w:t>- 49 - en tant qu’il y au lieu d’opposer l’expertise ordonnée par l’autorité (ministères publics et tribunaux; art. 182 CPP) à l’expertise privée ou de partie, qui n’est pas réglementée par le CPP (TF 6B_200/2013 du 26 septembre 2013, c. 4.1).</w:t>
      </w:r>
    </w:p>
    <w:p>
      <w:r>
        <w:rPr>
          <w:b/>
        </w:rPr>
        <w:t>E. 6.2</w:t>
      </w:r>
    </w:p>
    <w:p>
      <w:r>
        <w:t>En l’espèce, dans la démarche de recherche de vérité que suit la cour de céans, l’avis médical privé produit par la défense n’offre aucune garantie d’objectivité. En effet, le mandat a été mis en œuvre par une seule partie qui rémunère ce service; par ailleurs, aucun questionnement par les autres parties ou les juges n’y figure. Il s’agit ainsi d’une prestation unilatérale suspecte de parti pris. Outre ces appréciations procédurales, il est relevé que, pour réaliser son expertise, le Dr V.________ s’est basé sur une liste de pièces remises par l’appelant; il n’a donc pas disposé de la totalité du dossier, en particulier des auditions filmées des victimes sur la base desquelles le Dr G.________, expert de crédibilité des soeurs Z.________, s’est principalement fondé. Par ailleurs, le rapport comporte diverses erreurs factuelles, notamment une importante confusion entre l’expert psychiatre, le Dr [...] (qui s’est prononcé sur la question d’un éventuel internement du prévenu), et l’expert de crédibilité, erreurs qui ont amené le Dr V.________ à émettre, sans fondement, toute une série de considérants et critiques à l’égard du travail du Dr G.________ (P. 276, annexe 1, p. 27). Enfin, d’un point de vue judiciaire, on ne peut adhérer au rôle que s’est attribué le Dr V.________. En effet, selon son rapport, ce médecin fonctionne à la fois comme expert psychiatre (en responsabilité et en récidive, posant un diagnostic sur l’appelant), comme sur-expert de crédibilité (malgré le fait qu’il n’a ni vu ni entendu les victimes, ni visionné leurs auditions) et, enfin, comme expert du jugement entrepris (avec la volonté apparente d’indiquer à la Cour d’appel là où le doute aurait dû prévaloir). Cette confusion des rôles, qui aurait manifestement entraîné la récusation d’un expert judiciaire, aboutit à une sorte de plaidoyer, mais pas à une preuve utilisable comme telle.</w:t>
      </w:r>
    </w:p>
    <w:p>
      <w:r>
        <w:t>- 50 - La structure du rapport laisse également songeur. Sa trame et son fil conducteur consistent en effet dans la restitution de propos de l’appelant, sans que la cour ne connaisse les questions posées et, surtout, sans jamais que les propos du prévenu ne soient remis en question ou même seulement abordés de façon critique (p. ex., lorsque le prévenu indique au Dr V.________ qu’ « on a vu plusieurs fois l’œil dans le trou de la serrure… elles [les sœurs Z.________] nous ont beaucoup épiés… », l’expert ne demande aucune explication sur ce fait pourtant surprenant). Il en résulte que l’hypothèse de départ semble être celle que l’appelant dit nécessairement la vérité. Or, cette confiance immédiate et totale du mandataire à son mandant ne relève pas d’une démarche d’expert. Pour tous ces motifs, l’expertise privée produite par l’appelant n’ébranle pas la conviction de la cour quant à la culpabilité de ce dernier.</w:t>
      </w:r>
    </w:p>
    <w:p>
      <w:r>
        <w:rPr>
          <w:b/>
        </w:rPr>
        <w:t>E. 7</w:t>
      </w:r>
    </w:p>
    <w:p>
      <w:r>
        <w:t>Il convient d’examiner la qualification juridique des faits de la cause.</w:t>
      </w:r>
    </w:p>
    <w:p>
      <w:r>
        <w:rPr>
          <w:b/>
        </w:rPr>
        <w:t>E. 7.1.1</w:t>
      </w:r>
    </w:p>
    <w:p>
      <w:r>
        <w:t>Se rend l'auteur d'actes d'ordre sexuel avec des enfants, celui qui aura commis un acte d'ordre sexuel sur un enfant de moins de 16 ans, celui qui aura entraîné un enfant de cet âge à commettre un acte d'ordre sexuel ou encore celui qui aura mêlé un enfant de cet âge à un acte d'ordre sexuel (art. 187 ch. 1 CP).</w:t>
      </w:r>
    </w:p>
    <w:p>
      <w:r>
        <w:rPr>
          <w:b/>
        </w:rPr>
        <w:t>E. 7.1.2</w:t>
      </w:r>
    </w:p>
    <w:p>
      <w:r>
        <w:t>En l’espèce, en ce qui concerne l’épisode du bain, la réalisation des éléments objectifs de l’infraction est manifeste. Sur le plan subjectif, nonobstant la formulation de l’acte d’accusation qui fait état d’une glissade de l’enfant qui aurait alors saisi le sexe de l’appelant avant qu’il n’éjacule sur son corps, on ne saurait retenir un contact accidentel excluant l’intention de l’auteur. En effet, celui-ci était dénudé, le sexe en érection au contact ou à proximité immédiate de l’enfant; de plus, ce contact a provoqué une éjaculation. Il n’y donc pas eu seulement exhibition, mais également excitation sexuelle de l’adulte par</w:t>
      </w:r>
    </w:p>
    <w:p>
      <w:r>
        <w:t>- 51 - rapprochement du corps dénudé de l’enfant débouchant sur une éjaculation au premier contact, étant relevé que de tels contacts étaient prévisibles lors d’un bain pris en commun. L’intention par dol éventuel est ainsi réalisée. Quant aux autres abus, à savoir les actes de masturbation, de fellation et de cunnilingus impliquant trois enfants de moins de 16 ans, ils réalisent à l’évidence l’infraction prévue à l’art. 187 ch. 1 CP tant sur le plan objectif que subjectif. Toutefois, compte tenu du refus de B.Z.________ de faire une fellation au prévenu, seule une tentative d’acte d’ordre sexuel avec un enfant doit être retenu dans ce cas.</w:t>
      </w:r>
    </w:p>
    <w:p>
      <w:r>
        <w:rPr>
          <w:b/>
        </w:rPr>
        <w:t>E. 7.2.1</w:t>
      </w:r>
    </w:p>
    <w:p>
      <w:r>
        <w:t>Se rend l'auteur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(art. 189 al. 1 CP). Pour que la contrainte soit réalisée, il faut que l’auteur crée une situation de contrainte dans un contexte donné, ce qui n’oblige pas que la contrainte soit à nouveau utilisée pour chacun de ses actes. Il suffit que la victime ait dans un premier temps opposé de la résistance dans la mesure où elle pouvait le faire et que par la suite l’auteur réactualise sa contrainte de manière à pouvoir encore abuser de sa victime (ATF 131 IV 107 c. 2.4; TF 6P.197/2006 du 23 mars 2007 c. 8.1 et les réf. citées; TF 6P.46/2000 du 10 avril 2001 c. 8c/aa). Le fait que la loi mentionne parmi les moyens de contrainte possibles l'exercice d'une pression psychique montre clairement que l'infraction peut aussi être réalisée sans que l'auteur recourt à la force à proprement parler. Il peut au contraire suffire que pour d'autres raisons la victime se soit trouvée dans une situation telle que sa soumission est</w:t>
      </w:r>
    </w:p>
    <w:p>
      <w:r>
        <w:t>- 52 - compréhensible eu égard aux circonstances. Pour déterminer si on se trouve en présence d'une contrainte sexuelle, il faut procéder à une appréciation globale des circonstances concrètes déterminantes (ATF 131 IV 107 c. 2.2). Compte tenu du caractère de délit de violence que revêt la contrainte sexuelle, la pression psychique générée par l'auteur doit atteindre une intensité particulière (ibid. c. 3.1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l'art. 189 al. 1 CP (voir ATF 131 IV 107 c. 2.2 et les arrêts cités).</w:t>
      </w:r>
    </w:p>
    <w:p>
      <w:r>
        <w:rPr>
          <w:b/>
        </w:rPr>
        <w:t>E. 7.2.2</w:t>
      </w:r>
    </w:p>
    <w:p>
      <w:r>
        <w:t>Dans le cas d’espèce, la contrainte ressort à la fois de violences – sous forme de menaces de châtiments proférées par le prévenu dont les trois victimes avaient expérimenté l’usage de la force – et à la fois d’injonctions données à l’enfant de se taire ou de garder le secret qui, une fois suivies, compromet celui-ci et l’enferme dans le silence. De plus, l’appelant a usé de contrainte psychique en profitant de son autorité domestique – les abus se déroulant à son domicile –, de sa stature d’homme et d’adulte à l’égard de très jeunes enfants et, surtout, de sa position non seulement de beau-père exerçant de fait une fonction paternelle et imposant ses vues à sa partenaire, mais également de père divorcé légitimé à bénéficier de la loyauté, voire de la soumission de son fils. L’élément de la contrainte étant réalisé, le prévenu doit être reconnu coupable de l’infraction prévue à l’art. 189 al. 1 CP. Cependant, comme retenu ci-dessus, le refus de B.Z.________ de faire une fellation relève d’une tentative de contrainte sexuelle.</w:t>
      </w:r>
    </w:p>
    <w:p>
      <w:r>
        <w:t>- 53 -</w:t>
      </w:r>
    </w:p>
    <w:p>
      <w:r>
        <w:rPr>
          <w:b/>
        </w:rPr>
        <w:t>E. 7.3.1</w:t>
      </w:r>
    </w:p>
    <w:p>
      <w:r>
        <w:t>L’art. 197 ch. 1 aCP réprime le fait d’avoir rendu accessible la pornographie dite douce à des mineurs de moins de 16 ans. La disposition entend protéger le développement sexuel paisible de ces personnes. Il s’agit d’un délit de mise en danger abstraite, de sorte qu’il n’est pas exigé que le développement de l’adolescent ait été effectivement compromis. Par pornographie douce, il est visé toute représentation qui réduit l’être humain à un objet d’assouvissement sexuel, dont on peut disposer de n’importe quelle façon, et qui en donne ainsi une image dégradante. La représentation pornographie doit avoir pour but de provoquer une excitation sexuelle de la personne qui y est confrontée et insister exagérément sur les parties génitales dans le sens de la sexualité sans connotation humaine et émotionnelle. Des photographies insistant par les gestes et les poses de manière crue et vulgaire sur les parties génitales constituent de la pornographie douce (ATF 128 IV 269 c. 2.1). Sur le plan subjectif, il est nécessaire que l’auteur agisse intentionnellement. L’intention doit porter sur le caractère pornographique de l’objet ou de la représentation. Il faut par ailleurs que l’auteur sache ou accepte que l’objet ou la représentation pornographique soit accessible à des jeunes de moins de 16 ans. Le dol éventuel est suffisant (Dupuis et alii, Petit commentaire, Code de procédure pénale, Bâle 2012, nn. 39 et 41 ad art. CP).</w:t>
      </w:r>
    </w:p>
    <w:p>
      <w:r>
        <w:rPr>
          <w:b/>
        </w:rPr>
        <w:t>E. 7.3.2</w:t>
      </w:r>
    </w:p>
    <w:p>
      <w:r>
        <w:t>En l’espèce, la photographie litigieuse (représentant le sexe en érection du prévenu qui avait pris la pose à cet effet) et à laquelle a été confrontée [...] correspond manifestement à une représentation pornographique au sens de l’art. 197 ch. 1 aCP. L’appelant était par ailleurs conscient du risque de visionnement de cette image pornographique par son fils et s’en est accommodé. Par conséquent, l’infraction de pornographie dite douce est réalisée par dol éventuel.</w:t>
      </w:r>
    </w:p>
    <w:p>
      <w:r>
        <w:t>- 54 - Au surplus, cette infraction n’est pas prescrite, dès lors que le délai de sept ans arrivant à échéance en décembre 2014 s’agissant d’un visionnage en décembre 2007 a été interrompu par le jugement entrepris. Quant aux faits postérieurs répétés jusqu’en mars 2012, ils ne sont pas davantage prescrits.</w:t>
      </w:r>
    </w:p>
    <w:p>
      <w:r>
        <w:rPr>
          <w:b/>
        </w:rPr>
        <w:t>E. 8</w:t>
      </w:r>
    </w:p>
    <w:p>
      <w:r>
        <w:t>Il reste à examiner la peine à infliger au prévenu.</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Aux termes de l’art. 63 al. 1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(let. a) et il est à prévoir que ce</w:t>
      </w:r>
    </w:p>
    <w:p>
      <w:r>
        <w:t>- 55 - traitement le détournera de nouvelles infractions en relation avec son état (let. b).</w:t>
      </w:r>
    </w:p>
    <w:p>
      <w:r>
        <w:rPr>
          <w:b/>
        </w:rPr>
        <w:t>E. 8.2</w:t>
      </w:r>
    </w:p>
    <w:p>
      <w:r>
        <w:t>En l’espèce, la culpabilité de A.S.________ est lourde. L’ensemble des éléments à charge et à décharge sur lesquels se sont fondés les premiers juges (cf. jgt., p. 151 à 153) sont pertinents et doivent être confirmés. Les faits dont s’est rendu coupable le prévenu sont graves au regard non seulement du nombre de victimes, mais également en raison de la nature des abus commis et de leur répétition. Par ailleurs, il s’en est pris à de très jeunes enfants (âges de 6, 5 et 4 ans lors des premiers agissements). Il a franchi les limites pénales en élargissant de manière toujours plus importante l’étendue de ses expérimentations sexuelles et a joué un rôle destructeur envers ses trois victimes, causant notamment une atteinte sévère à son propre fils. De surcroît, il a habilement su manœuvrer sa femme et, à travers elle, les différents intervenants sociaux pour obtenir des rétractations, mystifier les organes de protection et échapper ainsi à la justice pendant des années. Enfin, le déni massif dans lequel il s’est muré est frappant. A décharge, il sera pris en considération le temps écoulé depuis les faits ainsi que la lenteur de la justice. Par ailleurs, même si la portée atténuante de ce facteur est difficile à mesurer, il faut tenir compte de la souffrance tant physique que psychique, ainsi que la distorsion de la personnalité du prévenu consécutives à la contrainte sexuelle et à la tentative d’assassinat dont il a été lui-même victime, étant rappelé qu’il n’a pas bénéficié à l’époque d’un soutien psychologique. Par ailleurs, le diagnostic posé quant à la modification durable de la personnalité de l’intéressé avec traits paranoïaques est lourd. Enfin, et surtout, il sera retenu le fait que le prévenu doit finalement être reconnu coupable, à l’égard d’une victime, de deux tentatives au lieu d’un acte d’ordre sexuel sur un enfant et d’une contrainte sexuelle entièrement réalisés.</w:t>
      </w:r>
    </w:p>
    <w:p>
      <w:r>
        <w:t>- 56 - Sur la base des éléments qui précèdent, une peine privative de liberté de 42 mois sanctionne adéquatement les agissements de A.S.________. Au surplus, au vu du risque élevé de récidive, le traitement ambulatoire, en tant mesure de protection, préconisé par l’expert et prononcé par les premiers juges doit être confirmé.</w:t>
      </w:r>
    </w:p>
    <w:p>
      <w:r>
        <w:rPr>
          <w:b/>
        </w:rPr>
        <w:t>E. 9</w:t>
      </w:r>
    </w:p>
    <w:p>
      <w:r>
        <w:t>L’appelant ne conteste pas en tant que telles les prétentions civiles allouées aux parties plaignantes et aux victimes. Compte tenu de sa condamnation, de la gravité des faits et de l’importance de l’atteinte subie par les intéressés, les montants octroyés à titre de réparation morale par les premiers juges sont adéquats et doivent être confirmés. Il en va de même des indemnisations fondées sur l’art. 433 CPP.</w:t>
      </w:r>
    </w:p>
    <w:p>
      <w:r>
        <w:rPr>
          <w:b/>
        </w:rPr>
        <w:t>E. 10</w:t>
      </w:r>
    </w:p>
    <w:p>
      <w:r>
        <w:t>En définitive, l’appel de A.S.________ doit être très partiellement admis et le jugement entrepris modifié dans le sens des considérants qui précèdent.</w:t>
      </w:r>
    </w:p>
    <w:p>
      <w:r>
        <w:rPr>
          <w:b/>
        </w:rPr>
        <w:t>E. 11</w:t>
      </w:r>
    </w:p>
    <w:p>
      <w:r>
        <w:t>Vu l’issue de la cause, les frais de la procédure d’appel, constitués de l’émolument lié à la décision incidente du 12 mai 2015, par 1'320 fr., de l’émolument relatif au présent jugement, par 4'700 fr., et de l’indemnité allouée au conseil d’office de C.Z.________, par 3'758 fr. 40 (correspondant à 18 heures d’activité, TVA et 240 fr. de débours compris), doivent être mis par quatre cinquièmes à la charge de A.S.________, le solde étant laissé à la charge de l’Etat L’intimée C.________ a droit à des dépens pour la présente procédure. Au vu de la requête en indemnisation déposée le 19 juin 2015 par le conseil de choix de cette dernière, c’est une indemnité globale de 4'000 fr., TVA comprise, correspondant à une activité d’environ 12 heures,</w:t>
      </w:r>
    </w:p>
    <w:p>
      <w:r>
        <w:t>- 57 - qui doit lui être allouée pour la procédure d’appel et mise à la charge du condamné. Quant à A.S.________, dans la mesure où il n’obtient que très partiellement gain de cause, il ne se justifie pas de lui octroyer une indemnité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