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PE09.019859 vom 7. Februar 2011</w:t>
      </w:r>
    </w:p>
    <w:p>
      <w:r>
        <w:t>VD Tribunal cantonal, 2011-02-07, FR</w:t>
      </w:r>
    </w:p>
    <w:p>
      <w:r>
        <w:rPr>
          <w:b/>
        </w:rPr>
        <w:t xml:space="preserve">Quelle: </w:t>
      </w:r>
      <w:r>
        <w:t>https://mcp.opencaselaw.ch/entscheid/vd_gerichte_PE09.019859</w:t>
      </w:r>
    </w:p>
    <w:p>
      <w:r>
        <w:t>FR: VD_GERICHTE PE09.019859 du 7 février 2011</w:t>
      </w:r>
    </w:p>
    <w:p>
      <w:r>
        <w:t>IT: VD_GERICHTE PE09.019859 del 7 febbraio 2011</w:t>
      </w:r>
    </w:p>
    <w:p>
      <w:pPr>
        <w:pStyle w:val="Heading2"/>
      </w:pPr>
      <w:r>
        <w:t>Erwägungen</w:t>
      </w:r>
    </w:p>
    <w:p>
      <w:r>
        <w:rPr>
          <w:b/>
        </w:rPr>
        <w:t>E. 22</w:t>
      </w:r>
    </w:p>
    <w:p>
      <w:r>
        <w:t>mai 2008. Selon elle, les policiers n'ont utilisé aucun des systèmes admis par les dispositions susmentionnées pour constater les excès de vitesse, de sorte que c'est à tort qu'elle a été reconnue coupable de violations graves des règles de la circulation pour ces faits. 4.2.2 Il ressort du rapport de dénonciation du 19 juillet 2009 (pièce 4, p. 2) ainsi que du jugement attaqué (pp. 5 et 7) que la voiture de police qui a suivi T.________ était un véhicule banalisé sans tachygraphe et que le compteur kilométrique n'a pas été étalonné. Il faut donc considérer que la voiture de police était dépourvue de tout système de mesure calibré. L'art. 7 al. 3 OOCCR-OFROU autorise les mesures de vitesse effectuées au moyen d'un véhicule suiveur sans système de mesure</w:t>
      </w:r>
    </w:p>
    <w:p>
      <w:r>
        <w:t>- 14 - calibré, précisant toutefois qu'elles doivent être limitées aux cas de dépassement de vitesse massifs, par quoi il faut entendre des infractions flagrantes, à savoir des dépassements excessifs de vitesse (cf. ATF 118 IV 188 c. 2d; TA FR, 26 août 1992 in RFJ 1992 p. 350, JT 1993 I 699). Dans ce cas, l'art. 8 al. 1 let. g de cette même ordonnance prévoit la déduction d'une marge de sécurité de 15 km/h pour une valeur mesurée inférieure ou égale à 100 km/h (ch. 1) et de 15 % pour les vitesses supérieures à 100 km/h (ch. 2). Avant l'entrée en vigueur de l'OOCCR-OFROU, il n'existait pas de disposition spécifique à cet égard. Les instructions du DFJP recommandaient, en cas de dépassement de vitesse constaté par une voiture de police dépourvue d'un appareil enregistrant la vitesse, de déduire d'abord du résultat obtenu l'écart de vitesse indiqué dans le rapport de vérification, puis encore 15 % si la police avait suivi le véhicule sur moins de 500 mètres ou 10 % si la poursuite avait eu lieu sur une distance supérieure (JT 1993 I 699 précité). Le Tribunal fédéral a toutefois eu l'occasion de préciser que de telles instructions n'avaient pas le caractère de loi et étaient dénuées de toute force obligatoire, de sorte que le juge n'était nullement lié par elles (ATF 123 II 106 c. 2, JT 1997 I 725; ATF 121 IV 64 c. 3, JT 1997 IV 62; ATF 102 IV 271, SJ 1978 p. 49). Il en va dès lors de même des instructions de l'OFROU du 22 mai 2008. C'est donc en vain que T.________ invoque une violation du droit en référence avec lesdites instructions (recours, p. 5; Kistler Vianin, op. cit., n. 14 ad art. 398 CPP). Ainsi, avec l'art. 8 al. 1 let g OOCCR-OFROU, qui constitue la concrétisation d'une appréciation raisonnable des preuves par le juge pénal dans le domaine des excès de vitesse, les anciennes instructions du DFJP édictées en matière de mesure de vitesse sans système d'enregistrement sont entrées dans la loi, étant rappelé que par droit fédéral, on doit entendre les normes ressortant de la loi, ou d'arrêtés ou d'ordonnances pris en application et en conformité de la loi (ATF 102 IV 271, SJ 1978 p. 49 précité).</w:t>
      </w:r>
    </w:p>
    <w:p>
      <w:r>
        <w:t>- 15 - 4.2.3 En l'espèce, la police, qui a suivi T.________ sur une distance de 1500 mètres, a constaté, à la sortie du tunnel de Belmont, où la vitesse est limitée à 80 km/h, que la conductrice roulait à une allure de l'ordre de 140 km/h, ce qui, après déduction d'une marge de sécurité de 15 % (art. 8 al. 1 let. g ch. 2 OOCCR-OFROU), représente une vitesse de 119 km/h, soit un dépassement de 39 km/h de la vitesse autorisée à cet endroit. Un tel excès de vitesse sur une autoroute est bien constitutif d'une violation grave des règles de la circulation au sens de l'art. 90 ch. 2 LCR (Loi fédérale sur la circulation routière du 19 décembre 1958) et ce, même si, comme c'est le cas en l'occurrence, la visibilité est excellente et le trafic de moyenne densité (ATF 118 IV 188 précité). S'agissant en revanche du second excès de vitesse, la police a indiqué que la prévenue circulait à une allure de l'ordre de 150 km/h sur un tronçon où la vitesse est limitée à 100 km/h. Cette vitesse correspond, marge de sécurité déduite, à un excès de 27,5 km/h par rapport à la vitesse autorisée. Il s'agit donc, pour ce dernier cas, d'une violation simple – et non pas grave – des règles de la circulation, comme le tribunal l'a retenu. Les éventuelles conséquences sur la peine de cette modification de la qualification pénale seront examinées ci-après. 4.3 T.________ allègue ensuite que dans la mesure où le rapport de police a retenu qu'elle était restée continuellement sur la voie de droite, le premier juge a constaté à tort qu'elle avait franchi la ligne de sécurité du marquage temporaire permettant la déviation de la circulation sur la voie de droite et sur la bande d'arrêt d'urgence (jugt, p. 5, c. 2, ch. 1.2). Contrairement à ce que fait valoir la prénommée, le fait qu'elle soit restée "continuellement sur la voie de droite" n'exclut pas qu'elle ait franchi la ligne de sécurité. L'intéressée fait une mauvaise interprétation</w:t>
      </w:r>
    </w:p>
    <w:p>
      <w:r>
        <w:t>- 16 - de la phrase litigieuse. La simple lecture du rapport permet de comprendre qu'en réalité, en raison des travaux et d'un marquage spécial sur la chaussée, l'appelante aurait dû se rabattre sur la bande d'arrêt d'urgence pour se conformer à la signalisation. En restant sur la voie de droite, elle a franchi la ligne de sécurité du marquage temporaire "pour dépasser les autres usagers". Cette conclusion est d'autant plus logique qu'à la sortie du tunnel de Belmont, soit à la hauteur des travaux en question, l'intéressée roulait à une vitesse nettement excessive, comme on l'a rappelé ci-avant, ce qui lui a donc permis de rester sur la voie de droite et de dépasser les autres automobilistes, mais en franchissant la ligne de sécurité. Partant, le moyen tiré d'une constatation erronée des faits est mal fondé et doit être rejeté. 4.4 T.________ conteste toute faute pour ne pas avoir réintégré la voie de droite entre la jonction de Vennes et l'échangeur de Villars-Ste- Croix. Contrairement à ce qu'elle prétend, cette contravention n'a pas seulement été commise aux abords de l'échangeur où se trouvent la jonction pour Yverdon, celle pour Genève et la sortie de Crissier, mais elle l'a également été sur la section précédente, où il n'y a aucun changement de direction à envisager. En outre, dès lors que "chaque justiciable a connaissance de ce tronçon", comme la prévenue l'admet elle-même (recours, p. 7, par. 2), elle savait quelle "portion d'autoroute" – pour reprendre ses propres termes – elle devait emprunter pour se rendre à Morges, où son frère l'attendait, les panneaux indicateurs de direction pour Genève étant d'ailleurs bien visibles à l'approche de l'échangeur en question. L'appelante ne saurait ainsi rien tirer en sa faveur de l'indication du tribunal selon laquelle il n'est pas toujours aisé de savoir exactement ce qu'il faut faire à cet endroit (jugt, p. 7), ce d'autant plus qu'en l'occurrence, le trafic était fluide, ce qui rendait possible l'usage de la bonne voie, comme l'a précisé le premier juge (ibidem); ce dernier point est confirmé par le fait que l'intéressée n'a pas hésité à dépasser un</w:t>
      </w:r>
    </w:p>
    <w:p>
      <w:r>
        <w:t>- 17 - automobiliste par la droite, comme on le verra ci-après. Enfin, T.________ ne saurait se prévaloir du fait qu'elle n'a créé aucune mise en danger de la circulation, puisque seul l'art. 90 ch. 1 LCR, qui ne prévoit pas cette condition, a été retenu pour ces faits. Mal fondé, le moyen doit donc être rejeté. 4.5 L'appelante soutient que le premier juge a retenu à tort que peu avant l'échangeur de Villars-Ste-Croix, elle avait rattrapé un usager sur la voie centrale et l'avait dépassé par la droite, sans faire usage des indicateurs de direction, puisqu'il ressort du rapport de police que l'automobiliste qui la précédait circulait "normalement", ce qui signifie, selon elle, que ce dernier roulait sur la voie de droite. La prévenue a tort. Contrairement à ce qu'elle affirme (recours, p. 8, par. 1), les gendarmes ont bel et bien précisé, en page 2, paragraphe 2, du rapport de dénonciation, que l'usager qu'elle avait rattrapé circulait sur la voie centrale, ce qui n'exclut pas, comme elle le prétend, que cet automobiliste roulait "normalement en direction de Genève". Partant, on ne saurait reprocher au tribunal, qui a indiqué que la prénommée avait dépassé par la droite un véhicule qui circulait sur la voie centrale, d'avoir constaté les faits de manière erronée. Il n'y a, dès lors, aucune contradiction entre le rapport de police et le jugement attaqué. Le moyen est mal fondé et doit donc être rejeté. 4.6 L'appelante soulève la même objection s'agissant du dépassement par la droite d'un véhicule allemand. Encore une fois, son argumentation procède d'une mauvaise lecture du rapport de police, puisque celui-ci indique clairement que le conducteur qui précédait la prévenue roulait sur la voie de gauche. Replacée dans le contexte auquel elle appartient, l'expression selon laquelle l'automobiliste en question conduisait "normalement" se réfère non pas à la voie de circulation, mais à sa vitesse, l'intéressée, quant à elle, "roula[n]t toujours à une vitesse supérieure à celle prescrite", comme le précise le rapport.</w:t>
      </w:r>
    </w:p>
    <w:p>
      <w:r>
        <w:t>- 18 - Par conséquent, mal fondé, ce grief doit également être rejeté. 4.7 T.________ s'en prend ensuite à l'indication du tribunal selon laquelle, après le dépassement du conducteur allemand par la droite, elle a contraint ce dernier à freiner au moment où elle s'est déplacée sur la voie de gauche. Elle estime avoir été "surprise par la vitesse de la voiture allemande" et avoir ainsi été "contrainte (…) de se rabattre sur la voie de gauche" (recours, p. 9, let F, par. 5). Outre le fait que ce n'est pas sur la voie de gauche, mais sur celle de droite que la prénommée s'est rabattue, il résulte du rapport de dénonciation qu'elle a rattrapé un camion sur la voie de droite, ce qui sous-entend qu'elle n'a pas pu maintenir son allure avant la tentative de dépassement qui a contraint l'automobiliste allemand à freiner. Cela explique également pourquoi ce dernier circulait à une vitesse supérieure à celle de l'appelante. Rien ne démontre, en revanche, que l'usager allemand roulait à une allure "extrêmement élevée", comme le soutient la prévenue; si tel devait être le cas, on se demande alors quelle vitesse aurait dû atteindre T.________ pour dépasser à son tour le véhicule en question, le rapport précisant en effet que l'intéressée a accéléré et s'est déplacée à nouveau à gauche devant ledit conducteur, ce qu'elle ne conteste d'ailleurs pas. Quoi qu'il en soit, le fait que l'appelante ait réintégré la voie de droite démontre que sa manœuvre a effectivement gêné l'automobiliste allemand qui a dû freiner, ce qui constitue bel et bien une violation grave des règles de la circulation. Mal fondé, le moyen ne peut dès lors qu'être rejeté. 4.8 T.________ reproche enfin au tribunal d'avoir retenu qu'elle avait talonné un autre automobiliste à l'approche de la zone de travaux Ecublens-Morges. Elle fait valoir que le rapport de police ne contient aucune indication quant à la distance entre son véhicule et celui des gendarmes, de sorte que ceux-ci ne pouvaient affirmer de manière aussi</w:t>
      </w:r>
    </w:p>
    <w:p>
      <w:r>
        <w:t>- 19 - péremptoire qu'elle circulait à une distance de 5 à 10 mètres de la voiture qui la précédait. Cet argument tombe à faux. Le rapport de dénonciation précise clairement que les policiers ont suivi l'appelante sur une longue distance, soit sur environ quinze kilomètres (jugt, p. 7 in fine), qu'il n'y avait pas beaucoup de trafic et que la visibilité était bonne. Dans ces conditions, l'indication des gendarmes, reprise par le tribunal, selon laquelle la prévenue a suivi l'automobiliste qui la précédait à une distance variant entre 5 et 10 mètres ne souffre aucune critique. Même si l'on admettait que les dénonciateurs se trouvaient à 40 mètres de T.________, comme celle-ci le prétend (recours, p. 10), cela n'exclurait pas en soi, vu les circonstances, qu'ils aient pu déterminer que la prénommée talonnait un autre véhicule. Au contraire, le fait que l'intéressée ait suivi la voiture en question sur plusieurs centaines de mètres, ce qu'elle ne conteste d'ailleurs pas, a permis aux gendarmes d'établir à quelle distance approximative la prévenue roulait de l'autre usager. Au surplus, il ressort du rapport (p. 3) qu'à l'endroit incriminé, la chaussée était réduite à une seule voie de circulation, que la vitesse était limitée à 80 km/h, que T.________, qui avait circulé jusque là à une vitesse excessive, avait "rattrapé" le véhicule en cause et qu'elle était en retard au rendez-vous. Au vu de ces éléments, le talonnage qui est reproché à l'appelante est établi. Le jugement ne contient dès lors aucune constatation incomplète ou erronée des faits. Le moyen est mal fondé et doit donc être rejeté. 5. Reste à déterminer dans quelle mesure la modification de la qualification pénale d'une violation grave en violation simple des règles de la circulation (cf. ch. 4.2.3 supra) influe sur la peine fixée par le tribunal, étant précisé que T.________ ne conteste pas en soi la sanction qui lui a été infligée, si ce n'est pour affirmer, en partant du principe que tous ses</w:t>
      </w:r>
    </w:p>
    <w:p>
      <w:r>
        <w:t>- 20 - moyens sont admis, qu'elle doit être acquittée. On rappellera sur ce point que la Cour d'appel pénale peut statuer d'office sur le genre et la quotité de la peine (art. 404 al. 2 CPP). 5.1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la jurisprudence développée sous l'empire de l'art. 63 aCP, les éléments fondant la culpabilité que le juge doit examiner en premier lieu sont ceux qui se rapportent à l'acte lui-même, à savoir : du point de vue objectif, le résultat de l'activité illicite, le mode et l'exécution de l'acte ainsi que, du point de vue subjectif, l'intensité de la volonté délictueuse de l'auteur ou la gravité de la négligence et ses mobiles. En second lieu, le juge prendra en considération les éléments concernant la personne de l'auteur : ses antécédents, sa situation personnelle, tant familiale que professionnelle – qui comprend l'éducation reçue et la formation suivie – son intégration sociale, voire sa réputation ainsi que son attitude et son comportement après les faits et dans le cadre de la procédure pénale (Nicolas Queloz/Valérie Humbert, in : Roth/Moreillon [éd.], Commentaire romand, Code pénal I, Bâle 2009, n. 7 ad art. 47 CP; ATF 129 IV 6 c. 6.1, JT 2005 IV 229 c. 6.1; ATF 127 IV 101 c. 2a; ATF 118 IV 21 c. 2b). L'art. 47 al. 1 CP fixe le principe et reprend le critère des antécédents et de la situation personnelle. La portée de l'absence d'antécédents doit être relativisée. En effet, sauf circonstances exceptionnelles, elle a un effet neutre sur la fixation de la peine et n'a donc plus à être prise en considération dans un sens atténuant (ATF 136 IV 1 c. 2.6.4). L'art. 47 al. 1 CP enjoint encore au juge de prendre en</w:t>
      </w:r>
    </w:p>
    <w:p>
      <w:r>
        <w:t>- 21 - considération l'effet de la peine sur l'avenir du condamné. Cet aspect de prévention spéciale ne permet toutefois que des corrections marginales, la peine devant toujours rester proportionnée à la faute (TF 6B_14/2007 du 17 avril 2007, c. 5.2). Codifiant la jurisprudence rendue sous l'empire de l'ancien droit (art. 63a CP), l'art. 47 al. 2 CP énumère de manière non limitative les critères permettant de déterminer le degré de gravité de la culpabilité de l'auteur. Ainsi, le juge devra prendre en considération la gravité de la lésion ou de la mise en danger du bien juridique concerné ainsi que le caractère répréhensible de l'acte, qui correspondent respectivement au "résultat de l'activité illicite" et au "mode et exécution de l'acte" de la jurisprudence (TF 6B_710/2007 du 6 février 2008 c. 3.2 et les réf. cit.). Sur le plan subjectif, le texte légal cite la motivation et les buts de l’auteur, qui correspondent aux mobiles de l’ancien droit (art. 63 aCP), et la mesure dans laquelle l’auteur aurait pu éviter la mise en danger ou la lésion, qui se réfère au libre choix de l’auteur entre la licéité et l’illicéité (ATF 127 IV 101, précité, c. 2a). Concernant ce dernier élément, le législateur enjoint le juge de tenir compte de la situation personnelle de l’intéressé et des circonstances extérieures (TF 6B_143/2007 du 25 juin 2007 c. 8.1). En vertu de l'art. 50 CP, le choix de la sanction, comme la quotité et la durée de celle qui est prononcée, doivent être motivés de manière suffisante. Le juge doit exposer dans sa décision les éléments essentiels relatifs à l'acte et à l'auteur qu'il prend en compte, de manière à ce que l'on puisse vérifier que tous les aspects pertinents ont été pris en considération et comment ils ont été appréciés, que ce soit dans un sens atténuant ou aggravant. La motivation doit justifier la peine prononcée, en permettant de suivre le raisonnement adopté, mais le juge n'est nullement tenu d'exprimer en chiffres ou en pourcentage l'importance qu'il accorde à chacun des éléments qu'il cite (ATF 127 IV 101 c. 2c et les arrêts cités). Plus la peine est élevée, plus la motivation doit être complète (ATF 134 IV 17 c. 4.2.1 et les arrêts cités).</w:t>
      </w:r>
    </w:p>
    <w:p>
      <w:r>
        <w:t>- 22 - 5.2 En définitive, T.________ s'est rendue coupable de cinq violations simples et de trois violations graves des règles de la circulation au sens de l'art. 90 ch. 1 et 2 LCR, qui entrent en concours (art. 49 al. 1 CP). Les violations graves des règles de la circulation consistent en un excès de vitesse, une tentative de dépassement qui a contraint un autre automobiliste à freiner d'urgence et un talonnage. Les règles enfreintes étant essentielles à la sécurité routière, il s'agit bel et bien de cas entraînant l'application de l'art. 90 ch. 2 LCR, ce qui n'est en soi pas contesté. A cela s'ajoutent ainsi cinq contraventions pour franchissement d'une ligne de sécurité, excès de vitesse, circulation abusive sur la voie centrale et deux dépassements par la droite sans l'usage des indicateurs de direction. Cette énumération montre que, compte tenu du concours de délits et de l'accumulation de contraventions, la peine prononcée par le premier juge est encore parfaitement justifiée. La Cour d'appel pénale considère, à l'instar du premier juge (jugt, p. 7 in fine), que la culpabilité de T.________ n'est pas légère. On rappellera que c'est prise dans son ensemble que la peine prononcée doit correspondre à la culpabilité de l'auteur telle qu'elle est définie par la loi. C'est donc en regard de la sanction globale que l'autorité de céans doit examiner si la quotité de la peine pécuniaire et l'amende ont été fixées conformément aux principes qui viennent d'être rappelés (TF 6S.677/1996 du 4 novembre 1996 c. 2a). Partant, la modification de la qualification juridique d'un excès de vitesse telle que retenue ci-avant n'entraîne pas à elle seule une diminution des jours-amende. Si tel devait être le cas, il faudrait augmenter le montant de l'amende pour la contravention supplémentaire ainsi que la quotité de la peine privative de liberté de substitution, ce qui pourrait constituer une aggravation de la sanction, interdite par l'art. 391 al. 2 CPP (CCASS, 14 février 2007, n° 118). A cela s'ajoute que le tribunal a suivi le Ministère public dans sa réquisition tout en précisant à bon droit que la peine demandée était clémente (jugt, idem), de sorte que, pour ce second motif également, le fait de modifier la</w:t>
      </w:r>
    </w:p>
    <w:p>
      <w:r>
        <w:t>- 23 - qualification d'une seule infraction peut rester sans conséquence dans le cas d'espèce, ce d'autant plus que la qualification des infractions prises dans leur ensemble ne subit, quant à elle, aucun changement, T.________ étant toujours reconnue coupable de violations simples et graves des règles de la circulation. Enfin, le tribunal a retenu que l'absence d'antécédents atténuait – certes légèrement – la culpabilité de la prévenue, alors que, comme on l'a vu ci-haut, cet élément ne doit pas être pris en considération dans un sens atténuant, sauf circonstances exceptionnelles, inexistantes en l'espèce. Ensuite, par son attitude tant devant la police que devant le Juge d'instruction, la prénommée a démontré, comme le tribunal l'a à juste titre relevé (jugt, p. 7 in fine), une absence totale de prise de conscience, se limitant dans un premier temps à nier les faits, avant de prétendre qu'elle était victime de racisme de la part des policiers (PV aud. 1, p. 2), et allant jusqu'à affirmer pour finir (recours, pp. 3 et 11) que les dénonciateurs ont été contrariés par son attitude de déni et que c'est pour ce motif qu'ils ont tout inventé. Le comportement autoroutier de l'intéressée est d'autant plus inquiétant que moins de cinq mois avant les faits litigieux, elle a reçu un avertissement du Service des automobiles pour excès de vitesse (jugt, p. 5; PV aud. 1, p. 1 in fine). Pour le reste, une peine pécuniaire (art. 34 CP) est adéquate pour réprimer une infraction relevant de la moyenne délinquance, commise par un auteur dépourvu d'antécédents et bien socialisé (cf. ATF 134 IV 82 c. 4.1; TF 6B_541/2007 du 13 mai 2008), et le montant du jour- amende tient compte des ressources de la prévenue (jugt, p. 5 in initio). En définitive, une peine pécuniaire de huitante jours-amende à 80 fr. le jour-amende, avec sursis pendant trois ans, et une amende de 960 fr. apparaissent adéquates.</w:t>
      </w:r>
    </w:p>
    <w:p>
      <w:r>
        <w:t>- 24 - 6. En conclusion, l'appel doit être rejeté et le jugement attaqué intégralement confirmé, la modification de la qualification juridique retenue étant sans incidence sur le dispositif du jugement entrepris. Vu l'issue de la cause, les frais du présent jugement selon l'art. 424 CPP doivent être mis à la charge de l’appelante (art. 428 al. 1, 1ère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