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PE09.017790 vom 18. April 2011</w:t>
      </w:r>
    </w:p>
    <w:p>
      <w:r>
        <w:t>VD Tribunal cantonal, 2011-04-18, FR</w:t>
      </w:r>
    </w:p>
    <w:p>
      <w:r>
        <w:rPr>
          <w:b/>
        </w:rPr>
        <w:t xml:space="preserve">Quelle: </w:t>
      </w:r>
      <w:r>
        <w:t>https://mcp.opencaselaw.ch/entscheid/vd_gerichte_PE09.017790</w:t>
      </w:r>
    </w:p>
    <w:p>
      <w:r>
        <w:t>FR: VD_GERICHTE PE09.017790 du 18 avril 2011</w:t>
      </w:r>
    </w:p>
    <w:p>
      <w:r>
        <w:t>IT: VD_GERICHTE PE09.017790 del 18 aprile 2011</w:t>
      </w:r>
    </w:p>
    <w:p>
      <w:pPr>
        <w:pStyle w:val="Heading2"/>
      </w:pPr>
      <w:r>
        <w:t>Erwägungen</w:t>
      </w:r>
    </w:p>
    <w:p>
      <w:r>
        <w:rPr>
          <w:b/>
        </w:rPr>
        <w:t>E. 5</w:t>
      </w:r>
    </w:p>
    <w:p>
      <w:r>
        <w:t>Nonobstant l'absence d'appel joint, l'aggravation de la peine implique que l'on examine d'office la question de la quotité du jour- amende.</w:t>
      </w:r>
    </w:p>
    <w:p>
      <w:r>
        <w:rPr>
          <w:b/>
        </w:rPr>
        <w:t>E. 5.1</w:t>
      </w:r>
    </w:p>
    <w:p>
      <w:r>
        <w:t>A teneur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5.2</w:t>
      </w:r>
    </w:p>
    <w:p>
      <w:r>
        <w:t>Pour déterminer le revenu, le juge doit prendre en considération l'ensemble des revenus en tout genre (revenus de l'activité lucrative, de rentes ou de pensions, de placements de capitaux, de la fortune immobilière, prestations en nature, etc.). Il doit ensuite tenir compte des obligations d'assistance – en particulier familiales – du condamné (Maire, Les peines pécuniaires, in : Kuhn, Moreillon, Viredaz et 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w:t>
      </w:r>
    </w:p>
    <w:p>
      <w:r>
        <w:t>- 15 -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 amende en certaines circonstances. Dans ce contexte,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références citées, BJP 2007 n°190 et CCASS, 18 juin 2007, n°150).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Kieser, ATSG-Kommentar, 2e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w:t>
      </w:r>
    </w:p>
    <w:p>
      <w:r>
        <w:t>- 16 - démunis. L'arrêt publié aux ATF 134 IV 60, c. 6.5.2 p. 72, doit être précisé en ce sens (ATF 135 IV 180, précité, c. 1.4.2).</w:t>
      </w:r>
    </w:p>
    <w:p>
      <w:r>
        <w:rPr>
          <w:b/>
        </w:rPr>
        <w:t>E. 5.3</w:t>
      </w:r>
    </w:p>
    <w:p>
      <w:r>
        <w:t>Dans le cas particulier, l'intimée ne travaille pas, ses recherches d'emploi s'étant à ce jour avérées vaines. Elle n'a pas achevé de formation professionnelle. Elle est toujours au bénéfice de l'aide sociale dans sa commune et vit également des prestations d'assistance perçues par son compagnon après que celui-ci a épuisé son droit aux allocations de chômage. En outre, elle a des dettes, ainsi que la charge partagée de deux enfants mineurs. Son tuteur lui verse 1'400 fr. par mois pour vivre, avec son ami et ses enfants, le loyer et l'assurance-maladie étant payés par ailleurs. Dans ces conditions, proche du minimum vital, elle fait partie des auteurs les plus démunis au sens de la jurisprudence résumée ci- dessus (cf. c. 5.2). Partant, c'est le montant minimal de 10 fr. qui doit être pris en compte dans son cas.</w:t>
      </w:r>
    </w:p>
    <w:p>
      <w:r>
        <w:rPr>
          <w:b/>
        </w:rPr>
        <w:t>E. 6</w:t>
      </w:r>
    </w:p>
    <w:p>
      <w:r>
        <w:t>L'appel doit donc être admis dans la mesure décrite ci-dessus.</w:t>
      </w:r>
    </w:p>
    <w:p>
      <w:r>
        <w:rPr>
          <w:b/>
        </w:rPr>
        <w:t>E. 7</w:t>
      </w:r>
    </w:p>
    <w:p>
      <w:r>
        <w:t>Nonobstant l'issue de la cause, et contrairement aux conclusions de l'appel, il n'y a pas lieu de laisser les frais d'arrêt selon l'art. 424 CPP à la charge de l’intimée, dès lors qu'elle n'a pas conclu au rejet de l'appel, mais s'en est remise à justice. Outre l'émolument, ces frais comprennent l’indemnité d’office allouée à son conseil (cf. les art. 135 al. 2 et 422 al. 2 let. a CPP; art. 2 al. 2 ch. 1 TFJP). L’intervention du conseil s’est limitée pour l'essentiel à de menus procédés écrits et à la plaidoirie, en une débattue. Vu l'ampleur et la complexité de la cause, l'indemnité allouée au conseil d'office de l'intimée doit être fixée à 1072 fr., TVA incluse.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