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PE09.016537 vom 19. März 2014</w:t>
      </w:r>
    </w:p>
    <w:p>
      <w:r>
        <w:t>VD Tribunal cantonal, 2014-03-19, FR</w:t>
      </w:r>
    </w:p>
    <w:p>
      <w:r>
        <w:rPr>
          <w:b/>
        </w:rPr>
        <w:t xml:space="preserve">Quelle: </w:t>
      </w:r>
      <w:r>
        <w:t>https://mcp.opencaselaw.ch/entscheid/vd_gerichte_PE09.016537</w:t>
      </w:r>
    </w:p>
    <w:p>
      <w:r>
        <w:t>FR: VD_GERICHTE PE09.016537 du 19 mars 2014</w:t>
      </w:r>
    </w:p>
    <w:p>
      <w:r>
        <w:t>IT: VD_GERICHTE PE09.016537 del 19 marzo 2014</w:t>
      </w:r>
    </w:p>
    <w:p>
      <w:pPr>
        <w:pStyle w:val="Heading2"/>
      </w:pPr>
      <w:r>
        <w:t>Erwägungen</w:t>
      </w:r>
    </w:p>
    <w:p>
      <w:r>
        <w:rPr>
          <w:b/>
        </w:rPr>
        <w:t>E. 4</w:t>
      </w:r>
    </w:p>
    <w:p>
      <w:r>
        <w:t>L’appelant fait grief aux premiers juges d’avoir fait une fausse application de l’art. 189 CP.</w:t>
      </w:r>
    </w:p>
    <w:p>
      <w:r>
        <w:rPr>
          <w:b/>
        </w:rPr>
        <w:t>E. 4.1</w:t>
      </w:r>
    </w:p>
    <w:p>
      <w:r>
        <w:t>Aux termes de l'art. 189 CP, se rend coupable de contrainte sexuelle celui qui, notamment en usant de menace ou de violence envers</w:t>
      </w:r>
    </w:p>
    <w:p>
      <w:r>
        <w:t>- 17 - une personne, en exerçant sur elle des pressions d’ordre psychique ou en la mettant hors d’état de résister l’aura contrainte à subir un acte analogue à l’acte sexuel ou un autre acte d’ordre sexuel. Cette disposition tend à protéger la libre détermination en matière sexuelle. Elle sanctionne un délit de violence qui doit donc en premier lieu consister en un acte d'agression physique. Toutefois, le fait que la loi mentionne parmi les moyens de contrainte possibles l'exercice d'une pression psychique montre clairement que l'infraction peut aussi être réalisée sans que l'auteur recourt à la force à proprement parler. Il peut au contraire suffire que pour d'autres raisons la victime se soit trouvée dans une situation telle que sa soumission est compréhensible eu égard aux circonstances. Pour déterminer si on se trouve en présence d'une contrainte sexuelle, il faut procéder à une appréciation globale des circonstances concrètes déterminantes (voir ATF 131 IV 107 c. 2.2 ). Compte tenu du caractère de délit de violence que revêt la contrainte sexuelle, il va de soi que pour être pertinente la pression psychique générée par l'auteur doit atteindre une intensité particulière (ATF 131 IV 167 c. 3.1 et les arrêts cités). On peut attendre d'adultes en pleine possession de leurs facultés une résistance supérieure à celle que des enfants sont en mesure d'opposer (ATF 131 IV 167 c. 3.1 et les arrêts cités). La liste des moyens de contrainte énumérée à l’art. 189 CP n’est pas exhaustive. Une combinaison de moyens divers est donc envisageable. Par acte d’ordre sexuel, il faut entendre une activité corporelle sur soi-même ou sur autrui, qui tend à l’excitation ou à la jouissance sexuelle de l’un des participants au moins (Dupuis et alii, Petit commentaire du Code pénal, Bâle 2012, n. 18 ad art. 187 CP). Selon la jurisprudence, il faut d'abord distinguer les actes n'ayant aucune apparence sexuelle, qui ne tombent pas sous le coup de la loi, des actes clairement connotés sexuellement du point de vue de l'observateur neutre, qui remplissent</w:t>
      </w:r>
    </w:p>
    <w:p>
      <w:r>
        <w:t>- 18 - toujours la condition objective de l'infraction, indépendamment des mobiles de l'auteur ou de la signification que le comportement a pour celui-ci ou pour la victime (TF 6B_103/2011 du 6 juin 2011 c. 1.1; TF 6B_7/2011 du 15 février 2011 c. 1.2; TF 6B_777/2009 du 25 mars 2010 c. 4.3). Une caresse insistante du sexe, des fesses ou des seins, même par- dessus les habits, a été considérée comme un acte d’ordre sexuel par le Tribunal fédéral (ATF 118 II 410; TF 6S.117/2006 du 9 juin 2006 c. 2.1). L’infraction de contrainte sexuelle est intentionnelle.</w:t>
      </w:r>
    </w:p>
    <w:p>
      <w:r>
        <w:rPr>
          <w:b/>
        </w:rPr>
        <w:t>E. 4.2</w:t>
      </w:r>
    </w:p>
    <w:p>
      <w:r>
        <w:t>En l’espèce, il n’y a pas eu de menace. En revanche, il y a eu emploi volontaire de la force physique dans le but de faire céder la victime, l’intensité de la force ainsi déployée étant plus importante que ne l’aurait exigé l’accomplissement de l’acte dans des circonstances ordinaires de la vie et l’auteur ayant dépensé plus de vigueur que dans un rapprochement librement consenti (cf. ATF 87 IV 66 c. 1 p. 69 in fine ; Dupuis et alii, op. cit., n. 17 ad art. 189 CP). Avec sa force d’homme – 1 mètre 80 pour 98 kilos – et d’agent de sécurité professionnel, donc entraîné aux affrontements physiques, l’appelant a en effet immobilisé la tête de la victime en lui saisissant le crâne par derrière. Il a porté cette prise alors qu’il était debout et la victime installée sur un transat, soit dans une position où elle s’est trouvée physiquement bloquée, à distance de tout tiers susceptible de la secourir et empêchée de fuir. Cette prise lui a aussi permis de suppléer à l’inertie d’E.________ en imposant à sa tête, donc à sa bouche, un mouvement destiné à lui procurer une jouissance sexuelle. De plus, les positions respectives lui assuraient un emplacement dominant. Cet emploi de la force dans son dosage est aussi lié à la vulnérabilité de la victime induite par sa forte alcoolisation que l’auteur connaissait puisqu’il a déclaré dans sa première audition qu’elle « avait beaucoup d’alcool », qu’elle « n’était pas bien du tout » et qu’elle « titubait » (PV aud. 2, p. 2). La conjugaison de cette violence exercée sur une victime en état de faiblesse avec l’effet de surprise et de choc provoqué par le sexe soudainement enfoncé dans la bouche, permet de retenir sans hésitation la réalisation d’une contrainte, sans qu’il soit nécessaire d’examiner les spécificités d’une contrainte d’ordre psychique.</w:t>
      </w:r>
    </w:p>
    <w:p>
      <w:r>
        <w:t>- 19 - En outre, c’est à tort que l’appelant prétend n’avoir pas réalisé que la victime ne consentait pas à la fellation dont il a pris l’initiative. Le fait que celui-ci mente sur le déroulement des faits suffit d’ailleurs à ruiner ce grief. En effet, il n’aurait eu aucune raison de nier s’il avait été persuadé qu’E.________ était d’accord. Imposer brutalement un tel acte à une femme inconnue, en la maintenant sans autres préliminaires ou propos amoureux, sans requérir son accord et sans même lui laisser la possibilité de réaliser ce qui va se passer, revient à accepter de la contraindre. Le dol éventuel est dès lors à tout le moins réalisé. Partant, les éléments constitutifs de l’art. 189 CP sont réunis et la condamnation de l’appelant pour contrainte sexuelle doit être confirmée.</w:t>
      </w:r>
    </w:p>
    <w:p>
      <w:r>
        <w:rPr>
          <w:b/>
        </w:rPr>
        <w:t>E. 5</w:t>
      </w:r>
    </w:p>
    <w:p>
      <w:r>
        <w:t>L’appelant, qui concluait à l’acquittement, ne conteste pas la peine en tant que telle. Examinée d’office par la Cour d’appel selon son propre pouvoir d’appréciation, la peine privative de liberté de 540 jours a été fixée en application des critères légaux à charge et à décharge et conformément à la culpabilité d’U.________. Elle doit dès lors être confirmée. Il en va de même de l’appréciation selon laquelle le pronostic quant au comportement futur de l’appelant est favorable de sorte que ce dernier bénéficiera d’un sursis d’une durée de quatre ans. La peine pécuniaire ferme de 60 jours-amende sera également confirmée. Au vu de la situation financière du prévenu, le montant du jour-amende, fixé à 40 fr., est adéquat.</w:t>
      </w:r>
    </w:p>
    <w:p>
      <w:r>
        <w:rPr>
          <w:b/>
        </w:rPr>
        <w:t>E. 6.1</w:t>
      </w:r>
    </w:p>
    <w:p>
      <w:r>
        <w:t>L’appelant a conclu à ce que les dépens pénaux en faveur de Me Flore Primault ainsi que les frais de justice soient laissés à la charge de l’Etat.</w:t>
      </w:r>
    </w:p>
    <w:p>
      <w:r>
        <w:t>- 20 -</w:t>
      </w:r>
    </w:p>
    <w:p>
      <w:r>
        <w:rPr>
          <w:b/>
        </w:rPr>
        <w:t>E. 6.2</w:t>
      </w:r>
    </w:p>
    <w:p>
      <w:r>
        <w:t>Aux termes de l’art. 433 CPP, la partie plaignante peut demander au prévenu une juste indemnité pour les dépenses occasionnées par la procédure si elle obtient gain de cause (let. a). La partie plaignante adresse ses prétentions à l’autorité pénale et doit les chiffrer et les justifier (al. 2). En l’espèce, le chiffre X du dispositif prévoit l’allocation d’un montant de 7'901 fr. 25 en faveur de Me Flore Primault au titre des dépens pénaux à la charge du prévenu. Cette énonciation est problématique dès lors que le créancier des dépens est selon l’art. 433 CPP la partie plaignante et non le conseil de cette dernière. De plus, il faut examiner si l’art. 433 CPP peut s’appliquer lorsque la partie plaignante a bénéficié d’un conseil d’office. En matière de prétentions en indemnisation de l’art. 429 CPP, il a été jugé qu’une telle indemnisation n’était pas ouverte à la partie libérée non condamnée aux frais qui avait bénéficié d’un défenseur d’office, les frais de défense étant alors intégrés aux frais de procédure et n’étant pas supportés par la partie (ATF 138 IV 205). Lorsque le prévenu est condamné, la partie plaignante obtient gain de cause comme demandeur au pénal, de sorte qu’elle doit être indemnisée pour les frais de défense privée en relation avec la plainte pénale (ATF 139 IV 102 c. 4.3). Partant, comme en l’espèce il n’y a pas eu de défense privée, il n’y a pas matière à allocation de dépens. L’appel doit dès lors être admis dans cette mesure et le chiffre X du dispositif supprimé.</w:t>
      </w:r>
    </w:p>
    <w:p>
      <w:r>
        <w:rPr>
          <w:b/>
        </w:rPr>
        <w:t>E. 6.3</w:t>
      </w:r>
    </w:p>
    <w:p>
      <w:r>
        <w:t>Selon l’art. 426 al. 4 CPP, les frais de l’assistance judiciaire gratuite de la partie plaignante ne peuvent être mis à la charge du prévenu que si celui-ci bénéficie d’une bonne situation financière. Nonobstant le renvoi de l’art. 138 CPP à l’art. 135 CPP, cette obligation conditionnelle de rembourser ne porte pas sur la différence entre l’indemnité et les honoraires de conseil privé que le conseil d’office</w:t>
      </w:r>
    </w:p>
    <w:p>
      <w:r>
        <w:t>- 21 - pourrait réclamer à son client (ATF 138 IV 205 c. 1 par analogie). Dans ces circonstances, l’appel doit également être admis sur ce point et la deuxième partie du chiffre XI supprimée.</w:t>
      </w:r>
    </w:p>
    <w:p>
      <w:r>
        <w:rPr>
          <w:b/>
        </w:rPr>
        <w:t>E. 6.4</w:t>
      </w:r>
    </w:p>
    <w:p>
      <w:r>
        <w:t>Compte tenu de la condamnation d’U.________, c’est à juste titre que les frais de première instance ont été mis à sa charge (art. 426 al. 1 CPP).</w:t>
      </w:r>
    </w:p>
    <w:p>
      <w:r>
        <w:rPr>
          <w:b/>
        </w:rPr>
        <w:t>E. 7</w:t>
      </w:r>
    </w:p>
    <w:p>
      <w:r>
        <w:t>En définitive, l'appel d’U.________ est très partiellement admis, le jugement rendu le 19 mars 2014 par le Tribunal correctionnel de l’arrondissement de Lausanne étant modifié dans le sens des considérants. Vu l’issue de la cause, les frais d’appel, constitués de l’émolument d’arrêt, par 1’830 fr., et de l’indemnité allouée au défenseur d’office de l’appelant, par 2’775 fr. 60, TVA et débours inclus, ainsi que celle allouée au conseil d’office de la partie plaignante, par 1’155 fr. 60, TVA et débours inclus, seront mis par neuf dixièmes à la charge de l’appelant, le solde étant laissé à la charge de l’Etat. L’appelant ne sera tenu de rembourser à l’Etat les neuf dixièmes du montant des indemnités d'office précitées que lorsque sa situation financière le permettra (art. 135 al. 4 let. a CPP). La Cour d’appel pénale appliquant les articles 34, 40, 42 al. 1 et 4, 44 al. 1, 47, 50, 189 al. 1 CP et 398 ss CPP prononce : I. L’appel est très partiellement admis.</w:t>
      </w:r>
    </w:p>
    <w:p>
      <w:r>
        <w:t>- 22 - II. Le jugement rendu le 19 mars 2014 par le Tribunal correctionnel de l’arrondissement de Lausanne est modifié comme il suit aux chiffres V, X et XI de son dispositif, le dispositif du jugement étant désormais le suivant : "I. constate qu’U.________ s’est rendu coupable de contrainte sexuelle ; II. condamne U.________ à une peine privative de liberté de 540 (cinq cent quarante) jours ; III. suspend l’exécution de la peine privative de liberté et fixe à U.________ un délai d’épreuve de 4 ans ; IV. condamne U.________ à une peine pécuniaire ferme de 60 (soixante) jours-amende, le montant du jour-amende étant fixé à 40 fr. (quarante francs) ; V. dit qu’U.________ doit verser à E.________ la somme de 3'500 fr., avec intérêts à 5% l’an dès le 6 juillet 2009, à titre de réparation morale ; VI. rejette les conclusions prises par U.________ au sens de l’art. 429 CPP ; VII. ordonne le maintien au dossier à titre de pièces à conviction des deux DVD vidéos et des deux DVD de données répertoriées sous fiches n°45771, du collant déchiré appartenant à la victime répertoriée sous fiche n°45772 et du slip boxer appartenant au prévenu répertorié sous fiche n°45773 ; VIII. ordonne la levée du séquestre sous fiche n°45773 en tant qu’il concerne un t-shirt taille XL, un jeans, une ceinture, une paire de chaussures et une paire de chaussettes et leur restitution à U.________ ; IX. arrête à 4'403 fr. 70 TTC, le montant de l’indemnité allouée à Me Flore Primault, conseil d’office d’E.________; X. supprimé ; XI. dit que lorsque sa situation financière le permettra, U.________ sera tenu de rembourser à l’Etat le montant de l’indemnité allouée sous chiffre IX ci-dessus ;</w:t>
      </w:r>
    </w:p>
    <w:p>
      <w:r>
        <w:t>- 23 - XII. met les frais de justice par 8'817 fr. 55 à la charge d’U.________". III. Une indemnité de défenseur d'office pour la procédure d'appel d'un montant de 2’775 fr. 60, TVA et débours inclus, est allouée à Me Alain Vuithier. IV.Une indemnité de conseil d'office pour la procédure d'appel d'un montant de 1’155 fr. 60, TVA et débours inclus, est allouée à Me Flore Primault. V. Les frais d'appel, par 5'761 fr. 20, y compris l’indemnité allouée au défenseur d'office de l'appelant et celle allouée au conseil d’office de l'intimée, sont mis par neuf dixièmes à la charge d’U.________, soit par 5'185 fr. 10, le solde étant laissé à la charge de l’Etat. VI.U.________ ne sera tenu de rembourser à l’Etat les neuf dixièmes du montant des indemnités en faveur de son défenseur d’office et du conseil d’office de l’intimée prévues aux chiffres III et IV ci-dessus que lorsque sa situation financière le permettra. Le président : La greffière : Du 4 septembre 2014 Le dispositif du jugement qui précède est communiqué à l’appelant et aux autres intéressés. La greffière :</w:t>
      </w:r>
    </w:p>
    <w:p>
      <w:r>
        <w:t>- 24 - Du Le jugement qui précède, dont la rédaction a été approuvée à huis clos, est notifié, par l'envoi d'une copie complète, à : - Me Alain Vuithier, avocat (pour U.________), - Me Flore Primault, avocate (pour E.________), - Ministère public central, et communiqué à : - M. le Président du Tribunal correctionnel de l'arrondissement de Lausanne, - M. le Procureur de l'arrondissement de Lausanne, - Office d'exécution des peines,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