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PE09.015049 vom 31. Januar 2014</w:t>
      </w:r>
    </w:p>
    <w:p>
      <w:r>
        <w:t>VD Tribunal cantonal, 2014-01-31, FR</w:t>
      </w:r>
    </w:p>
    <w:p>
      <w:r>
        <w:rPr>
          <w:b/>
        </w:rPr>
        <w:t xml:space="preserve">Quelle: </w:t>
      </w:r>
      <w:r>
        <w:t>https://mcp.opencaselaw.ch/entscheid/vd_gerichte_PE09.015049</w:t>
      </w:r>
    </w:p>
    <w:p>
      <w:r>
        <w:t>FR: VD_GERICHTE PE09.015049 du 31 janvier 2014</w:t>
      </w:r>
    </w:p>
    <w:p>
      <w:r>
        <w:t>IT: VD_GERICHTE PE09.015049 del 31 gennaio 2014</w:t>
      </w:r>
    </w:p>
    <w:p>
      <w:pPr>
        <w:pStyle w:val="Heading2"/>
      </w:pPr>
      <w:r>
        <w:t>Erwägungen</w:t>
      </w:r>
    </w:p>
    <w:p>
      <w:r>
        <w:rPr>
          <w:b/>
        </w:rPr>
        <w:t>E. 1</w:t>
      </w:r>
    </w:p>
    <w:p>
      <w:r>
        <w:t>Interjeté dans le délai légal (art. 322 al. 2 CPP [Code de procédure pénale suisse du 5 octobre 2007; RS 312.0], auquel renvoie l'art. 310 al. 2 CPP, et 396 al. 1 CPP) contre une décision du ministère public (art. 393 al. 1 let. a CPP), par la partie plaignante qui a qualité pour recourir (art. 382 al. 1 CPP) et dans les formes prescrites (art. 385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w:t>
      </w:r>
    </w:p>
    <w:p>
      <w:r>
        <w:t>- 5 -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137 IV 219 c. 7; ATF 138 IV 86 c. 4.1.1; ATF 138 IV 186 c. 4.1;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t>- 6 -</w:t>
      </w:r>
    </w:p>
    <w:p>
      <w:r>
        <w:rPr>
          <w:b/>
        </w:rPr>
        <w:t>E. 3</w:t>
      </w:r>
    </w:p>
    <w:p>
      <w:r>
        <w:t>Les recourants se prévalent en premier lieu d'une constatation incomplète ou erronée des faits (art. 393 al. 2 let. b CPP). a) La constatation des faits est incomplète lorsque des faits pertinents ne figurent pas au dossier. Elle est erronée (ou inexacte) lorsqu'elle est contredite par une pièce probante du dossier ou lorsque le juge chargé du recours ne peut déterminer comment le droit a été appliqué (Rémy, in: Kuhn/Jeanneret [éd.], Commentaire romand, Code de procédure pénale suisse, Bâle 2011, n. 17 ad art. 393 CPP). b) En l’espèce, il ne ressort en effet pas expressément de l’ordonnance querellée que B.E.________ a prélevé les montants de 230'000 fr. et 150'000 fr., les 13 avril et 4 mai 2007, pour les verser sur son compte personnel et que ces prélèvements ont été effectués alors que la société était en surendettement au sens de l’art. 725 CO. Ces faits ont toutefois été confirmés par l’analyste en criminalité économique du Ministère public central dans son rapport du 14 septembre 2012 (P. 23, pp. 2 s.) et ressortent des minutes du procès-verbal de l'assemblée générale ordinaire des actionnaires du 25 mai 2007 (P. 5/6), si bien qu’il y a lieu de les retenir.</w:t>
      </w:r>
    </w:p>
    <w:p>
      <w:r>
        <w:rPr>
          <w:b/>
        </w:rPr>
        <w:t>E. 4</w:t>
      </w:r>
    </w:p>
    <w:p>
      <w:r>
        <w:t>Les recourants ne contestent pas l'ordonnance de classement en tant qu'elle concerne A.E.________. Ils soutiennent en revanche que B.E.________ s’est rendu coupable de diminution effective de l’actif au préjudice des créanciers. a) L'art. 164 ch. 1 CP sanctionne la diminution effective par le débiteur de son actif au préjudice des créanciers. Cette disposition envisage trois hypothèses: premièrement la détérioration, la destruction, la dépréciation ou la mise hors d'usage de valeurs patrimoniales (al. 2), deuxièmement leur cession à titre gratuit ou contre une prestation de valeur manifestement inférieure (al. 3) et</w:t>
      </w:r>
    </w:p>
    <w:p>
      <w:r>
        <w:t>- 7 - troisièmement le refus sans raison valable de droits qui reviennent au débiteur ou la renonciation gratuite à de tels droits (al. 4). L'art. 164 ch. 1 CP n'est applicable que si le débiteur a été déclaré en faillite ou si un acte de défaut de biens a été dressé contre lui. Le comportement sanctionné par cette disposition doit être distingué de celui visé par l'art. 163 CP. Alors que l'art. 164 CP s'applique au débiteur qui diminue effectivement son actif à l'occasion d'une procédure de faillite ou de poursuite pour dettes, par exemple en détruisant des biens ou en procédant à des libéralités, l'art. 163 CP vise le débiteur qui diminue fictivement le patrimoine pour désintéresser les créanciers par la voie de la poursuite pour dettes (TF 6B_575/2009 du 14 janvier 2010 c. 1.1). L'art. 164 CP réprime tout comportement qui a eu pour effet de diminuer l'actif destiné à désintéresser les créanciers, s'il est adopté pour nuire à ces derniers. Le débiteur menacé d'insolvabilité ou de faillite a un devoir de sauvegarder pour ses créanciers le patrimoine qui subsiste (cf. TF 6B_434/2011 du 27 janvier 2012; Corboz, Les infractions en droit suisse, vol. I, 3ème éd., Berne 2010, nn. 1 et 4 ad art. 163 CP). L'art. 164 CP implique une diminution effective de la valeur économique disponible pour désintéresser les créanciers. Cette disposition envisage en particulier une aliénation sans contrepartie correspondante. A contrario, une aliénation ou une acquisition pour un prix correct n'est pas visée par l'art. 164 ch. 1 CP (Corboz, op. cit., nn. 4 et 13 ad art. 164 CP). L'infraction visée par l'art. 164 ch. 1 CP est intentionnelle, le dol éventuel étant suffisant. Outre l'intention générale, cette disposition exige que l'auteur ait l'intention de causer un dommage à son ou ses créanciers (TF 6B_617/2010 du 24 novembre 2010 c. 2.1). L'intention ne doit en revanche pas porter sur la déclaration de faillite, puisqu'il s'agit d'une condition objective de punissabilité et non d'un élément constitutif (Corboz, op. cit., n. 23 ad art. 164 CP).</w:t>
      </w:r>
    </w:p>
    <w:p>
      <w:r>
        <w:t>- 8 - b) En l’espèce, il est établi que B.E.________ a prélevé les montants de 230'000 fr. et 150'000 fr. sur le compte bancaire de la société C.________SA afin de les verser sur son compte personnel, remboursant ainsi partiellement sa créance d'actionnaire (cf. c. 3 supra; P. 23, pp. 2 s.). En procédant de la sorte, il a diminué les actifs de la société. B.E.________ a en outre agi alors que la société était en état de surendettement (P. 23, p. 3). Les éléments constitutifs objectifs de l’art. 164 CP paraissent ainsi réunis. S’agissant de l’élément subjectif de l’infraction, il ressort du rapport de l’analyste en criminalité économique du Ministère public central qu'indépendamment de la situation de surendettement de la société C.________SA, le fonds de roulement de celle-ci a été positif de 2004 à 2007, lui permettant ainsi de s'acquitter de ses dettes à court terme à leur échéance (P. 23, p. 3). Si le fonds de roulement était positif, c'était parce que B.E.________ ou une de ses sociétés s'acquittait régulièrement des paiements au nom de C.________SA (P. 23, p. 9). Les explications du prévenu selon lesquelles la société avait les moyens de payer les créances ouvertes lors des prélèvements contestés ont donc été confirmées (P. 23, pp. 4 et 9). Néanmoins, au moment où les prélèvements litigieux ont été opérés, la société C.________SA était en état de surendettement au sens de l'art. 725 CO et B.E.________ le savait. En effet, lors de son audition du 29 novembre 2012, ce dernier a expliqué que « la société était au bord de la faillite » déjà dès juin 2006 (PV aud. 4, pp. 2 s.). Il était en outre présent, en tant que directeur de la société C.________SA, lors de l’assemblée générale du 25 mai 2007 où le surendettement de la société a été évoqué et sa mise en liquidation votée (cf. P. 5/6). Dans ces conditions, en homme d'affaires avisé, le prévenu ne pouvait pas ignorer qu'en prélevant une somme totale de 380'000 fr., il diminuait l'actif de la société C.________SA de manière à causer un dommage à ses créanciers. L’élément subjectif de l’infraction de diminution effective de l’actif au préjudice des créanciers paraît donc réalisé, à tout le moins sous la forme du dol éventuel.</w:t>
      </w:r>
    </w:p>
    <w:p>
      <w:r>
        <w:t>- 9 -</w:t>
      </w:r>
    </w:p>
    <w:p>
      <w:r>
        <w:rPr>
          <w:b/>
        </w:rPr>
        <w:t>E. 5</w:t>
      </w:r>
    </w:p>
    <w:p>
      <w:r>
        <w:t>Les recourants soutiennent que le prévenu B.E.________ s'est rendu coupable de gestion déloyale au sens de l’art. 158 CP. a) Aux termes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(ch. 1 al. 1). Sur le plan objectif, l'infraction de gestion déloyale suppose la réalisation de trois éléments: il faut que l'auteur ait eu un devoir de gestion ou de sauvegarde, qu'il ait violé une obligation qui lui revient en cette qualité et qu'il en soit résulté un dommage. Sur le plan subjectif, il faut qu'il ait agi intentionnellement. Le dol éventuel suffit, à la condition qu’il soit strictement caractérisé (Corboz, op. cit., n. 13 ad art. 158 CP). L'infraction de gestion déloyale ne peut être commise que par une personne qui revêt la qualité de gérant; il s’agit d’un élément constitutif objectif de l’infraction. Selon la jurisprudence, il s'agit d'une personne à qui incombe, de fait ou formellement, la responsabilité d'administrer un complexe patrimonial non négligeable dans l'intérêt d'autrui (ATF 129 IV 124 c.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 3b p. 21). Un tel devoir incombe notamment aux organes des sociétés commerciales, à savoir aux membres du conseil d'administration et à la direction, ainsi qu'aux organes de fait (TF 6B_728/2012 du 18 février 2013 c. 2.1 in fine et les références).</w:t>
      </w:r>
    </w:p>
    <w:p>
      <w:r>
        <w:t>- 10 - b) En l’occurrence, comme le soulèvent à juste titre les recourants, B.E.________, en tant qu'administrateur et directeur de la société C.________SA, avait un devoir de veiller à la bonne gestion des intérêts de la société. En prélevant un montant total de 380'000 fr. sur le compte de C.________SA pour le verser sur son compte personnel, alors que la société était en surendettement, il a causé un dommage à ses créanciers. Il a ainsi failli à son devoir de gestion. A ce stade et comme il a déjà été relevé ci-dessus (cf. c. 4b supra), l'intention délictuelle du prévenu, à tout le moins le dol éventuel, ne peut être exclue. Les soupçons sont donc suffisants, au sens de l’art. 324 al. 1 CPP, pour prononcer la mise en accusation de B.E.________ du chef de gestion déloyale.</w:t>
      </w:r>
    </w:p>
    <w:p>
      <w:r>
        <w:rPr>
          <w:b/>
        </w:rPr>
        <w:t>E. 6</w:t>
      </w:r>
    </w:p>
    <w:p>
      <w:r>
        <w:t>Les recourants demandent que le prévenu B.E.________ soit reconnu coupable de faux dans les titres. a) Selon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Pour ce qui est de l’aspect subjectif, le faux dans les titres est une infraction intentionnelle, le dol éventuel étant suffisant. L'art. 251 CP exige de surcroît un dessein spécial, qui peut se présenter sous deux formes alternatives, soit le dessein de nuire ou le dessein d'obtenir un avantage illicite (Corboz, op. cit., vol. II, nn. 171 ss ad art. 251 CP). S'agissant des éléments objectifs de l'infraction, sont notamment des titres tous les écrits destinés et propres à prouver un fait ayant une portée juridique (cf. art. 110 ch. 4 CP).</w:t>
      </w:r>
    </w:p>
    <w:p>
      <w:r>
        <w:t>- 11 - b) En l’espèce, B.E.________ a signé le 28 janvier 2009 au nom de la société C.________SA un document intitulé « Assignment » prévoyant le transfert de brevets en faveur de M.________, société détenue par le prévenu, alors que la société C.________SA était en faillite depuis le 1er octobre 2007 et que ce dernier n’avait plus le pouvoir de la représenter. Contrairement à ce qu’a retenu le Ministère public, il faut reconnaître une portée juridique à ce document, dans la mesure où comme le soutiennent les recourants, la cession avait pour but une inscription des brevets aux Etats-Unis pour en obtenir la protection, peu important à cet égard qu'un contrat de cession ait été préalablement conclu. Les explications du prévenu B.E.________ à ce sujet sont peu convaincantes, voire fumeuses, prétextant ne plus se souvenir du contenu du document, ni même l’avoir signé en tant que représentant de la société C.________SA, mais au nom de la nouvelle société C.________SA qu'il voulait créer par l'intermédiaire de M.________ (P. 23, pp. 4 s.). En outre, le document litigieux ne se réfère à aucun moment au contrat de cession du 30 avril 2007, mais la Cour constate être peu informée sur ces faits, en particulier sur l’inscription à l’OMPI et sur le point de savoir s’il s’agissait ou non des mêmes brevets. L'instruction doit dès lors être complétée sur cette question.</w:t>
      </w:r>
    </w:p>
    <w:p>
      <w:r>
        <w:rPr>
          <w:b/>
        </w:rPr>
        <w:t>E. 7</w:t>
      </w:r>
    </w:p>
    <w:p>
      <w:r>
        <w:t>Sur le vu de ce qui précède, il existe contre le prévenu B.E.________ des soupçons suffisants de diminution effective par le débiteur de son actif au préjudice des créanciers (art. 164 CP), de gestion déloyale (art. 158 CP) et de faux dans les titres (art. 251 CP), si bien que l’ordonnance de classement est mal fondée en ce qui le concerne. Il appartiendra au Ministère public de tirer les conclusions juridiques de ce constat.</w:t>
      </w:r>
    </w:p>
    <w:p>
      <w:r>
        <w:rPr>
          <w:b/>
        </w:rPr>
        <w:t>E. 8</w:t>
      </w:r>
    </w:p>
    <w:p>
      <w:r>
        <w:t>En définitive, le recours doit être admis, l'ordonnance de classement du 4 octobre 2013 annulée en ce qui concerne B.E.________ et</w:t>
      </w:r>
    </w:p>
    <w:p>
      <w:r>
        <w:t>- 12 - le dossier de la cause renvoyé au Ministère public de l'arrondissement de La Côte pour qu'il procède dans le sens des considérants, puis rende une nouvelle décision. L’ordonnance de classement sera confirmée en ce qui concerne A.E.________. Cela implique que le chiffre II de l’ordonnance, soit l’indemnité versée à B.E.________, doit être annulé également. Comme le classement est confirmé à l’égard de A.E.________ et que les deux prévenus ont agi par l’intermédiaire du même conseil, il y a lieu de maintenir l’allocation de l’indemnité en faveur de celui-ci, en allouant la moitié du montant fixé par le Procureur par mesure de simplification. Le chiffre IV concernant les frais doit être également annulé s’agissant de B.E.________. S'agissant des dépens réclamés par les recourants, il leur appartiendra de faire valoir leurs prétentions à la fin de la procédure, auprès de l'autorité pénale compétente selon l'art. 433 al. 2 CPP (CREP 16 avril 2013/279 c. 4 et les réf. cit.). Les frais de la procédure de recours, constitués en l’espèce de l’émolument d'arrêt, par 1'320 fr. (art. 20 al. 1 TFJP [Tarif des frais judiciaires pénaux du 28 septembre 2010; RSV 312.03.1]), seront mis à la charge de B.E.________ et A.E.________, qui ont conclu au rejet du recours et qui succombent, à parts égales et solidairement entre eux (art. 418 al. 1 et 2 et 428 al. 1 CPP). Par ces motifs, la Chambre des recours pénale, statuant à huis clos, prononce : I. Le recours est admis. II. L’ordonnance du 4 octobre 2013 est annulée en ce qui concerne le classement en faveur de B.E.________ (ch. I),</w:t>
      </w:r>
    </w:p>
    <w:p>
      <w:r>
        <w:t>- 13 - l’allocation d’une indemnité en sa faveur (ch. II) et les frais de la cause (ch. IV). III. Le dossier de la cause est renvoyé à la Procureure de l'arrondissement de La Côte pour qu'elle procède dans le sens des considérants, puis rende une nouvelle décision. IV. L’ordonnance de classement est confirmée en ce qui concerne A.E.________ (ch. I et ch. IV). V. L’ordonnance du 4 octobre 2013 est réformée à son chiffre II en ce sens qu’une indemnité de 4'170 fr. (quatre mille cent septante francs) pour le remboursement de ses frais de défense est allouée à A.E.________. VI. L’ordonnance est maintenue pour le surplus (ch. III). VII. Les frais d’arrêt, par 1'320 fr. (mille trois cent vingt francs), sont mis à la charge de B.E.________ et de A.E.________, à parts égales, soit 660 fr. (six cent soixante francs) chacun, et solidairement entre eux. VIII. Le présent arrêt est exécutoire. Le président : La greffière : Du L'arrêt qui précède, dont la rédaction a été approuvée à huis clos, est notifié, par l'envoi d'une copie complète, à : - MM. Nicolas Gillard et Yvan Henzer, avocats (pour B.________, A.________ et K.________), - M. Pierre-Yves Baumann, avocat (pour B.E.________ et A.E.________), - Ministère public central, et communiqué à : - Mme la Procureure de l’arrondissement de La Côte,</w:t>
      </w:r>
    </w:p>
    <w:p>
      <w:r>
        <w:t>- 14 -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