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PE09.014757 vom 25. Februar 2011</w:t>
      </w:r>
    </w:p>
    <w:p>
      <w:r>
        <w:t>VD Tribunal cantonal, 2011-02-25, FR</w:t>
      </w:r>
    </w:p>
    <w:p>
      <w:r>
        <w:rPr>
          <w:b/>
        </w:rPr>
        <w:t xml:space="preserve">Quelle: </w:t>
      </w:r>
      <w:r>
        <w:t>https://mcp.opencaselaw.ch/entscheid/vd_gerichte_PE09.014757</w:t>
      </w:r>
    </w:p>
    <w:p>
      <w:r>
        <w:t>FR: VD_GERICHTE PE09.014757 du 25 février 2011</w:t>
      </w:r>
    </w:p>
    <w:p>
      <w:r>
        <w:t>IT: VD_GERICHTE PE09.014757 del 25 febbraio 2011</w:t>
      </w:r>
    </w:p>
    <w:p>
      <w:pPr>
        <w:pStyle w:val="Heading2"/>
      </w:pPr>
      <w:r>
        <w:t>Volltext</w:t>
      </w:r>
    </w:p>
    <w:p>
      <w:r>
        <w:t>TRIBUNAL CANTONAL 118 PE09.014757-GRV CHAMBRE DE S RECO URS PEN ALE __________________________________________ Séance du 26 avril 2011 __________________ Présidence de M. KRIEGER, président Juges : Mmes Epard et Byrde Greffier : M. Addor Art. 221 al. 1 let. b, 222, 227 al. 5 et 7, 393 al. 1 let. c CPP ***** Vu l'enquête n° P09.014757-BDR instruite par le Procureur de l'arrondissement de Lausanne notamment contre L.________ pour vol en bande et par métier, infraction à la LEtr (Loi fédérale sur les étrangers; RS 142.20), infraction et contravention à la LStup (Loi fédérale sur les stupéfiants; RS 812.121), d'office et sur diverses plaintes, vu le mandat d'arrêt notifié au prévenu le 18 décembre 2009, vu l'ordonnance du 25 février 2011, par laquelle le Tribunal des mesures de contrainte a notamment refusé d'ordonner la libération de la détention provisoire de L.________, vu la demande de prolongation de la détention provisoire adressée le 22 mars 2011 par le Ministère public de l'arrondissement de Lausanne au Tribunal des mesures de contrainte, 351</w:t>
      </w:r>
    </w:p>
    <w:p>
      <w:r>
        <w:t>- 2 - vu la lettre du 28 mars 2011, par laquelle le Tribunal des mesures de contrainte a informé le conseil du prévenu de cette demande de prolongation, vu les déterminations déposées par L.________ le 31 mars 2011, vu l'ordonnance du 5 avril 2011, par laquelle le Tribunal des mesures de contrainte a ordonné la prolongation de la détention provisoire de L.________ pour une durée de trois mois, à compter du 31 mars 2011, vu le recours interjeté par le prénommé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w:t>
      </w:r>
    </w:p>
    <w:p>
      <w:r>
        <w:t>- 3 - attendu, en l'espèce, que le recourant est essentiellement mis en cause pour avoir commis des vols dans des trains, ainsi que pour avoir acheté et vendu des objets volés, entre le début de l'année 2009 et décembre 2009, qu'à certaines occasions, il aurait opéré avec le concours d'autres prévenus (P. 167, pp. 103-123), qu'il a notamment été inculpé de vol en bande et par métier, qu'il existe contre lui des présomptions de culpabilité suffisantes, que cette question n'est pas litigieuse dans la présente procédure;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libanais, sans emploi ni domicile connu, séjourne illégalement en Suisse, qu'il ne présente aucune espèce d'attache avec la Suisse, qu'étant donné la peine privative de liberté à laquelle il est exposé, il est à craindre qu'il ne disparaisse afin de se dérober aux poursuites engagées contre lui, que le risque de fuite fait donc obstacle à son élargissement; attendu que l'ordonnance attaquée se fonde également sur le risque de récidive, qu'en l'occurrence, le recourant, qui a admis s'être trouvé en situation de récidive eu égard à la condamnation qui lui a été infligée le 21 juillet 2008 par le Tribunal correctionnel de l'arrondissement de La Côte, ne remet pas en cause ce motif de détention, qu'en tout état de cause, il n'indique pas en quoi sa détention provisoire ne pourrait pas être prolongée pour ce motif,</w:t>
      </w:r>
    </w:p>
    <w:p>
      <w:r>
        <w:t>- 4 - qu'il invoque cependant une violation du principe de la proportionnalité,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on l'a vu, a été condamné le 21 juillet 2008 par le Tribunal correctionnel de l'arrondissement de La Côte à 18 mois de peine privative de liberté, que le rapport de police lui impute quelque trente infractions, qui auraient été commises sur une période relativement courte dans le courant de l'année 2009, qu'on rappelle en outre que le recourant a été inculpé de vol en bande et par métier, qu'il encourt dès lors une peine privative de liberté relativement importante, dépassant la durée de la détention provisoire au moment du jugement, que le recourant se prévaut de la perspective de l'octroi du sursis ou d'une libération conditionnelle, que ces éventualités n'ont toutefois pas à être prises en compte pour juger la proportionnalité de la détention préventive, les circonstances particulières exigées par la jurisprudence pour imposer exceptionnellement une solution différente n'étant pas réunies (ATF 125 I 60 c. 3d; TF 1B_82/2008 du 7 avril 2008), que la durée de la détention provisoire demeure ainsi respectée,</w:t>
      </w:r>
    </w:p>
    <w:p>
      <w:r>
        <w:t>- 5 - qu'il importe néanmoins que la procédure n'éprouve aucun retard, de manière que l'acte d'accusation puisse être établi à bref délai; attendu, en définitive, que le recours, mal fondé, doit être rejeté sans autres échanges d’écritures (art. 390 al. 2 CPP), que les frais de la procédure de recours, constitués de l'émolument d'arrêt, par 550 fr.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L.________. IV. Dit que les frais d'arrêt, par 550 fr. (cinq cent cinquante francs), ainsi que l'indemnité due au défenseur d'office de L.________, par 388 fr. 80 (trois cent huitante-huit francs et huitante centimes), sont mis à la charge de ce dernier. V. Dit que le remboursement à l'Etat de l'indemnité allouée au chiffre III ci-dessus sera exigible pour autant que la situation économique de L.________ se soit améliorée. VI. Déclare le présent arrêt exécutoire. Le président : Le greffier :</w:t>
      </w:r>
    </w:p>
    <w:p>
      <w:r>
        <w:t>- 6 - Du L'arrêt qui précède, dont la rédaction a été approuvée à huis clos, est notifié, par l'envoi d'une copie complète, à : - M. Nicolas Blanc, avocat (pour L.________),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