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PE09.013770 vom 21. März 2013</w:t>
      </w:r>
    </w:p>
    <w:p>
      <w:r>
        <w:t>VD Tribunal cantonal, 2013-03-21, FR</w:t>
      </w:r>
    </w:p>
    <w:p>
      <w:r>
        <w:rPr>
          <w:b/>
        </w:rPr>
        <w:t xml:space="preserve">Quelle: </w:t>
      </w:r>
      <w:r>
        <w:t>https://mcp.opencaselaw.ch/entscheid/vd_gerichte_PE09.013770</w:t>
      </w:r>
    </w:p>
    <w:p>
      <w:r>
        <w:t>FR: VD_GERICHTE PE09.013770 du 21 mars 2013</w:t>
      </w:r>
    </w:p>
    <w:p>
      <w:r>
        <w:t>IT: VD_GERICHTE PE09.013770 del 21 marzo 2013</w:t>
      </w:r>
    </w:p>
    <w:p>
      <w:pPr>
        <w:pStyle w:val="Heading2"/>
      </w:pPr>
      <w:r>
        <w:t>Erwägungen</w:t>
      </w:r>
    </w:p>
    <w:p>
      <w:r>
        <w:rPr>
          <w:b/>
        </w:rPr>
        <w:t>E. 31</w:t>
      </w:r>
    </w:p>
    <w:p>
      <w:r>
        <w:t>c. 2c; TF 6B_831/2009, précité, c. 2.2.2). Sur ce point, des doutes simplement abstraits et théoriques ne suffisent pas, car de tels doutes sont toujours possibles et une certitude absolue ne peut être exigée. Bien</w:t>
      </w:r>
    </w:p>
    <w:p>
      <w:r>
        <w:t>- 11 - plutôt, il doit s’agir de doutes importants et irréductibles, qui s’imposent au vu de la situation objective (ATF 127 I 38 c. 2a). 3.2 Le Tribunal de police a admis qu’il subsistait un doute important sur l’implication du prévenu dans les évènements du 7 juin 2009, de sorte que celui-ci devait être libéré des chefs d’accusation de lésions corporelles simples, mise en danger de la vie d’autrui, dommages à la propriété et menaces. Il s’est appuyé sur le fait que les déclarations de la plaignante comportaient certaines contradictions, que le témoin W.________ avait affirmé que le prévenu ne s’en était jamais pris physiquement à K.________ et que les déclarations de la tante et de l’oncle de la plaignante, soit A.B.________, respectivement B.B.________, ne permettaient pas à elles seules d’établir la présence du prévenu en Suisse au mois de juin 2009. La Cour de céans ne saurait suivre cette appréciation pour les motifs suivants. 3.2.1 La plaignante a été entendue, pour la première fois, le 9 juin 2009, soit deux jours après les faits. Ses premières déclarations sont détaillées, précises et convaincantes (PV aud. 1). De plus, elle n’a, pour l’essentiel, jamais varié dans ses allégations. Certes, lors de l’audience de première instance, elle a affirmé avoir un souvenir trouble et vague de l’évènement et s’est contredite sur un point chronologique; en effet, dans le cadre de sa plainte, elle a exposé que « après cela, il est parti. J’ai réussi à prendre mon téléphone portable… je me suis souvenue du numéro de ma tante et je l’ai appelée », alors qu’à l’audience, elle a affirmé que « je suis allée dans une autre pièce prendre un autre téléphone portable et ai appelé ma tante à son appartement. Quant à Z.________, il était parti tout de suite en m’entendant parler au téléphone ». Cette variation dans le récit porte sur des circonstances factuelles secondaires et s’explique par l’écoulement du temps entre les deux auditions qui ont eu lieu à quatre ans d’intervalle. De la même manière, il est normal d’avoir des souvenirs troubles ou vagues après un tel laps de temps, étant encore relevé que la plaignante a également</w:t>
      </w:r>
    </w:p>
    <w:p>
      <w:r>
        <w:t>- 12 - déclaré, devant le Tribunal de police, qu’elle n’arriverait jamais à oublier ce qu’elle avait vécu (jugement attaqué, p. 3). De plus, on ne voit pas pour quels motifs l’appelante aurait inventé cette histoire et l’intimé n’est pas non plus en mesure de l’expliquer. 3.2.2 Les déclarations de K.________ sont par ailleurs confirmées par le certificat médical établi le jour même des faits (P. 6). Ce certificat fait état des lésions mentionnées ci-dessus. Il ne fait aucun doute que ces lésions concordent avec le récit de l’intéressée. 3.2.3 La version de la plaignante est encore attestée par les déclarations de sa tante A.B.________, qui est venue la récupérer le soir des faits. Celle-ci a en effet affirmé aux débats que sa nièce l’avait appelée le 7 juin 2009, vers 22h00, qu’elle pleurait et criait comme une folle, qu’elle n’arrivait pas à respirer, qu’elle avait expliqué que Z.________ l’avait insultée, tapée et qu’elle était choquée. Une fois sur place, A.B.________ a pu constater que sa nièce avait le visage et les épaules rouges et griffés (jugement attaqué, p. 10). L’oncle de la plaignante, B.B.________, a fait les mêmes constatations (jugement attaqué, p. 14). Il n’existe pas de motifs de mettre en doute ces témoignages. 3.2.4 A cela s’ajoute que les déclarations du prévenu manquent de crédibilité. En effet, d’une part, lors de son audition par le Procureur, il a déclaré qu’il ne s’en prenait jamais aux femmes, alors que son casier judiciaire contient deux condamnations pour lésions corporelles simples sur conjoint ou partenaire. D’autre part, Z.________ a affirmé qu’il n’était pas en Suisse, mais au Kosovo au mois de juin 2009; toutefois, les pièces qu’il a produites n’attestent aucunement de ce fait. Au contraire, les extraits des transactions bancaires produits démontrent qu’il n’était au Kosovo que dès le mois de juillet ou le mois de septembre 2009, mais non pas au mois de juin 2009. Les copies de son passeport (pages 6, 7 et 8) permettent de voir qu’il est sorti du Kosovo en 2010. L’intimé n’a toutefois pas produit toutes les pages (pages 4 et 5) de son passeport, malgré la réquisition de la Cour de céans. A cela s’ajoute encore qu’il est tout à fait possible de sortir du pays sans visa</w:t>
      </w:r>
    </w:p>
    <w:p>
      <w:r>
        <w:t>- 13 - On relève également que les témoignages de M.________ (jugement attaqué, p. 12) et V.________ (jugement attaqué, p. 13) ne permettent pas d’affirmer que le prévenu était au Kosovo au mois de juin 2009. Enfin, on doit admettre que la version du prévenu et de son ex-amie W.________, selon laquelle ce dernier aurait appelé la plaignante depuis le Kosovo pour lui dire qu’elle devait quitter l’appartement, car W.________ allait se marier avec une autre personne que le prévenu, est assez irréaliste. 3.2.5 Certes, W.________ a affirmé ne jamais avoir vu d’altercation entre son ancienne colocataire et le prévenu. Son témoignage n’est toutefois pas fiable, au regard des constatations des oncle et tante de la plaignante. De plus, il est vraisemblable que ce témoin cherche à protéger son ex-ami ou en a peur. 3.2.6 Sur la base de l’ensemble de ces éléments, il convient de retenir la version de la plaignante. 4. Il convient d’examiner les infractions qui doivent être retenues à la charge de Z.________, qui a tout d’abord été renvoyé pour lésions corporelles simples et mise en danger de la vie d’autrui. 4.1 Aux termes de l'art. 123 CP, celui qui, intentionnellement, aura fait subir à une personne une atteinte à l'intégrité corporelle ou à la santé sera, sur plainte, puni d'une peine privative de liberté de trois ans au plus ou d'une peine pécuniaire (ch. 1). L’art. 123 CP réprime les lésions du corps humain ou de la santé qui ne peuvent être qualifiées de graves au sens de l'art. 122 CP. Pour qu'il y ait lésions corporelles, il n'est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w:t>
      </w:r>
    </w:p>
    <w:p>
      <w:r>
        <w:t>- 14 -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 1.4, p. 192).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 1.2 ; ATF 119 IV 25 c. 2a, p. 26 ; ATF 117 IV 14 c. 2a, p. 15ss). Dans les cas limites, il faut tenir compte de l'importance de la douleur provoquée, afin de déterminer s'il s'agit de lésions corporelles simples ou de voies de fait (TF 6B_624/2010 et 6B_625/2010 du 16 novembre 2010 c. 4.3 ; ATF 134 IV 189 c. 1.3).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En revanche, si les contusions, meurtrissures, écorchures ou griffures en cause ne portent qu’une atteinte inoffensive et passagère au bien-être du lésé, les coups, pressions ou heurts dont elle résultent ne constituent que des voies de fait (ATF 119 IV 25 c. 2a, p. 26 ; ATF 107 IV 40 c. 5c, p. 45 ; ATF 103 IV 65 c. II 2c, p. 70).</w:t>
      </w:r>
    </w:p>
    <w:p>
      <w:r>
        <w:t>- 15 - Selon l'art. 129 CP, celui qui, sans scrupules, aura mis autrui en danger de mort imminent sera puni d’une peine privative de liberté de cinq ans au plus ou d’une peine pécuniaire. Le danger au sens de l’art. 129 CP suppose un risque concret de lésions, c’est-à-dire un état de fait dans lequel il existe, d’après le cours ordinaire des choses, la probabilité ou un certain degré de possibilité que le bien juridique protégé soit lésé, sans toutefois qu’un degré de probabilité supérieur à 50% soit exigé (ATF 121 IV 67 c. 2b et les arrêts cités). Il doit en outre s’agir d’un danger de mort, et non pas seulement d’un danger pour la santé ou l’intégrité corporelle (ATF 101 IV 154 c. 2a). Enfin, il faut que le danger soit imminent. La notion d’imminence n’est toutefois pas aisée à définir; elle implique en tout cas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 ou surviennent des actes ou d’autres éléments extérieurs (ATF 106 IV 12 c. 2a, arrêt du 24 novembre 1995 en la cause R. reproduit in Pra 1996 173 638 c. 2). Du point de vue subjectif, il faut que l’auteur ait agi intentionnellement et que l’acte ait été commis sans scrupules. L’auteur doit avoir conscience du danger de mort imminent pour autrui et adopter volontairement un comportement qui le crée (ATF 121 IV 67 c. 2d, p. 75 in fine). En revanche, il ne veut pas, même à titre éventuel, la réalisation du risque (ATF 107 IV 163 c. 3, p. 165). Le dol éventuel ne suffit pas (TF 6S.3/2006, du 16 mars 2006 ; TF 6S.426/2003, du 1er mars 2004). 4.2 Le prévenu s’en est pris physiquement à K.________ en la saisissant par les bras et en la projetant à plusieurs reprises au sol à divers endroit du logement. Il l’a ensuite saisie au niveau du cou avec les deux mains, en exerçant une pression telle qu’elle ne pouvait plus respirer. Finalement, la plaignante a tenté de s’enfermer dans la chambre de W.________ sans toutefois y parvenir dès lors que Z.________ l’a suivie. A l’intérieur de cette pièce, ce dernier l’a derechef saisie par les bras et l’a projetée d’abord contre le lit puis sur le matelas. Ces gestes ont</w:t>
      </w:r>
    </w:p>
    <w:p>
      <w:r>
        <w:t>- 16 - occasionné des blessures à K.________, lesquelles ont été constatées par un médecin (cf. supra P. 6). Ces évènements ont également eu une atteinte psychologique sur la victime. En effet, celle-ci a déclaré lors des débats de première instance : « suite à cette agression j’ai eu beaucoup de douleurs sur le moment. Surtout je souffre parce que cela reste dans ma tête et je n’arrive pas à m’en débarrasser. Chaque fois que j’y pense j’ai un sentiment de honte et d’humiliation. Encore maintenant, je me réveille à cause de cauchemars. J’avais peur et j’ai encore peur de sortir, connaissance quelle personne il est. […] je vais toujours chez un psychologue au Kosovo. Je n’avais jamais eu de problème avant l’évènement de juin 2009 » (jugement attaqué, p. 3). Au regard de l’ensemble de ces éléments, Z.________ s’est rendu coupable de lésions corporelles simples. 4.3 En revanche, le prévenu doit être libéré de l’infraction de mise en danger de la vie d’autrui. En effet, d’une part, on doute que le danger ait été vraiment imminent. En effet, selon les déclarations de la plaignante, W.________ a tenté d’empêcher son compagnon d’étrangler la victime. De plus, cette dernière a essayé de raisonner son agresseur et a pu se saisir de son téléphone portable, D’autre part, l’aspect subjectif de l’infraction n’est pas non plus réalisé. En effet, les éléments du dossier ne suffisent pas pour retenir que l’intimé a voulu mettre en danger la vie de sa victime. Par ailleurs, on ne pourrait retenir l’intention de mise en danger uniquement pour les motifs que Z.________ savait que les actes de strangulation peuvent être fatals, puisqu’il s’agit d’un fait notoire. 5. Le prévenu est également renvoyé pour dommages à la propriété et menaces. 5.1 L’art. 144 CP prévoit notamment que celui qui aura endommagé, détruit ou mis hors d’usage une chose appartenant à autrui sera, sur plainte, puni d’une peine privative de liberté de trois ans au plus ou d’une peine pécuniaire.</w:t>
      </w:r>
    </w:p>
    <w:p>
      <w:r>
        <w:t>- 17 - Aux termes de l'art. 180 al. 1 CP, celui qui, par une menace grave, aura alarmé ou effrayé une personne sera, sur plainte, puni d'une peine privative de liberté de trois ans au plus ou d'une peine pécuniaire. Sur le plan objectif, l’infraction suppose que l’auteur ait émis une menace, qu’elle soit grave et qu’elle ait eu pour conséquence que la victime a été alarmée ou effrayée. Par menaces, il faut entendre que l’auteur, par ses paroles ou son comportement, fait volontairement redouter à la victime la survenance d’un préjudice au sens large (ATF 122 IV 97 c. 2b, p. 100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 1a, p. 215 ; TF 6B_435/2011, du 6 octobre 2011 c. 3.1). Pour déterminer si une menace grave a été proférée, il ne faut pas se fonder exclusivement sur les termes utilisés par l’auteur ou un attitude en particulier. Il faut tenir compte de l’ensemble de la situation, parce que la menace peut aussi bien résulter d’un geste que d’une allusion (ATF 99 IV 212 c. 1a, p. 215). 5.2 A un moment donné, K.________ est parvenue à saisir son téléphone et à faire comprendre à son agresseur qu’elle allait prévenir la police ou sa famille. Z.________ s’est aussitôt emparé de l’appareil pour l’empêcher d’agir de la sorte. Il a ensuite endommagé le téléphone portable en le jetant contre le sol. Ce faisant, le prévenu s’est rendu coupable de dommages à la propriété. Z.________ a également menacé K.________ de la projeter par- dessus le balcon. Il est indéniable que la victime a été effrayée, la tante de cette dernière ayant d’ailleurs précisé que sa nièce avait peur car le prévenu lui avait dit qu’il allait la jeter depuis le balcon et qu’il se foutait d’elle, de sa famille et des policiers (jugement attaqué, p. 10).</w:t>
      </w:r>
    </w:p>
    <w:p>
      <w:r>
        <w:t>- 18 - Partant, l’intimé s’est également rendu coupable de menaces. 6. Le Ministère public a conclu à la révocation du sursis octroyé le 1er juillet 2008 et au prononcé d’une peine privative de liberté d’ensemble de 7 mois.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ATF 134 IV 17 c. 2.1; ATF 129 IV 6 c. 6.1; TF 6B_408/2012 du 1 novembre 2012 c. 1.1). er La peine pécuniaire constitue la sanction principale dans le domaine de la petite et moyenne criminalité, les peines privatives de liberté ne devant être prononcées que lorsque l’Etat ne peut garantir d’une autre manière la sécurité publique (ATF 134 IV 97 c. 4.2.1 et 4.2.2, p. 101). Lorsque tant une peine pécuniaire qu’une peine privative de liberté entrent en considération et que toutes les deux apparaissent sanctionner de manière équivalente la faute commise, il y a en règle</w:t>
      </w:r>
    </w:p>
    <w:p>
      <w:r>
        <w:t>- 19 -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 4.2.2, p. 101 ; ATF 134 IV 82 c. 4.1, p. 85). Le choix de la sanction doit être opéré en tenant compte au premier chef de l’adéquation de la peine, de ses effets sur l’auteur et sur sa situation sociale ainsi que de son efficacité du point de vue de la prévention (ATF 134 IV 97 c. 4.2, p. 100 ; ATF 134 IV 82 c. 4.1, p. 84/85). 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 5ss).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VI 1 c. 4.2.1, p. 5). En cas de révocation du sursis, il est contraire à la ratio legis de l’art. 46 al. 1 CP de modifier une peine antérieure (exécutoire) au détriment du condamné (ATF 137 IV 249). 6.2 Z.________ s’est rendu coupable de lésions corporelles simples, dommages à la propriété, menaces et infraction à la loi fédérale sur les étrangers. Sa culpabilité est lourde. A charge, on doit tenir compte du concours d’infractions. De plus, l’intéressé a des antécédents judiciaires, pour des actes similaires. Il a nié les faits tout au long de la procédure, ce</w:t>
      </w:r>
    </w:p>
    <w:p>
      <w:r>
        <w:t>- 20 - qui atteste d’une absence de toute prise de conscience. Enfin, bien que régulièrement convoqué, il ne s’est pas présenté à l’audience d’appel. Le seul élément retenu à décharge est le temps écoulé depuis les évènements. On ne saurait prononcer une peine pécuniaire, Z.________ étant insensible à ce genre de sanction. Il doit être condamné à une peine privative de liberté de six mois. Contrairement aux conclusions du Ministère public, on ne peut pas fixer une peine d’ensemble englobant une peine pécuniaire antérieure. Le pronostic est défavorable. En effet, le prévenu a porté atteinte à l’intégrité physique d’une jeune femme après avoir été condamné à deux reprises pour des faits de même nature. Il n’a à l’évidence tiré aucune leçon de ses précédentes condamnations. En outre, il nie totalement les faits et n’a, à l’évidence, pas pris conscience de la gravité de ses actes. Partant le sursis ne saurait être accordé. Toutefois, dès lors qu’il va subir pour la première fois une peine ferme, il n’y a pas lieu de révoquer le précédent sursis. 7. La plaignante réclame 5'000 fr. à titre d’indemnité pour tort moral. 7.1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4A_373/2007 du 8 janvier 2008 c. 3.2, non publié in ATF 134 I 97; ATF 132 Il 117 c. 2.2.2; TF 6B_970/2010 du 23 mai 2011 c. 1.1.2).</w:t>
      </w:r>
    </w:p>
    <w:p>
      <w:r>
        <w:t>- 21 - En raison de sa nature, l’indemnité pour tort moral, qui est destinée à réparer un dommage qui ne peut que difficilement être réduit à une simple somme d’argent, échappe à toute fixation selon des critères mathématiques, de sorte que son évaluation en chiffre ne saurait excéder certaines limites. L’indemnité allouée doit toutefois être équitable (ATF 130 III 699 c. 5.1, p. 704/705 et les arrêts citée). Statuant selon les règles du droit et de l’équité (art. 4 CC), le juge dispose d’un large pouvoir d’appréciation (ATF 135 III 121 c. 2, p. 123). 7.2 La plaignante a subi diverses lésions (P. 6). Ses déclarations devant le Tribunal de police confirment qu’elle a souffert et souffre encore psychologiquement des évènements survenus au mois de juin 2009 (jugement attaqué, p. 3). Au vu de ces éléments, la Cour de céans arrête le montant à allouer à K.________ au titre d’indemnité pour tort moral à 3'000 fr. 8. En conclusion, les appels sont admis dans le sens des considérants. Les frais de procédure d’appel, par 2’160 fr., sont mis à la charge de Z.________ (cf. art. 426 al. 1 CPP). Outre l’émolument, ces frais comprennent l’indemnité allouée au conseil d’office de la victime, par 1'220 fr., plus TVA, par 97 fr. 60. Le prévenu ne sera tenu de rembourser à l’Etat le montant de cette indemnité que lorsque sa situation financière le lui permettra (cf. art. 135 al. 4 let. a et 426 al. 4 CPP).</w:t>
      </w:r>
    </w:p>
    <w:p>
      <w:r>
        <w:t>- 22 - La Cour d’appel pénale vu les articles 129 CP, 115 al. 1 let. a LEtr, appliquant les articles 40, 41, 47, 49, 50, 51, 70, 106, 123 ch. 1, 144 al. 1, 180 CP; 115 al. 1 let. b et c LEtr; 398 ss CPP prononce : I. Les appels du Ministère public et de K.________ sont admis. II. Le jugement rendu le 21 mars 2013 par le Tribunal de police de l’arrondissement de la Côte est modifié selon le dispositif suivant : "I. Libère Z.________ du chef d’accusation de mise en danger de la vie d’autrui; II. Constate que Z.________ s’est rendu coupable de lésions corporelles simples, dommages à la propriété, menaces et infraction à la Loi fédérale sur les étrangers; III. Condamne Z.________ à une peine privative de liberté de six mois; IV. Renonce à révoquer le sursis accordé le 1er juillet 2008 par le Ministère public de Genève; V. Dit que Z.________ est le débiteur de K.________ de la somme de 3'000 fr. (trois mille francs), valeur échue, à titre d’indemnité pour tort moral; VI. Ordonne la confiscation et la dévolution à l’Etat de la somme de 488 fr. 50 séquestrés en main de Z.________; VII. Met les frais de procédure, y compris l’indemnité allouée au conseil d’office de K.________, par 3'050 fr. débours et TVA compris, à la charge de Z.________. III. Une indemnité de conseil d'office pour la procédure d'appel d'un montant de 1'317 fr. 60 (mille trois cent dix-sept francs et soixante centimes), débours et TVA compris, est allouée à Me Rodolphe Petit.</w:t>
      </w:r>
    </w:p>
    <w:p>
      <w:r>
        <w:t>- 23 - IV.Les frais d'appel, par 3'477 fr. 60 (trois mille quatre cent septante-sept francs et soixante centimes), y compris l’indemnité versée au conseil d’office de la plaignante, par 1'317 fr. 60 (mille trois cent dix-sept francs et soixante centimes), TVA et débours compris, sont mis à la charge de Z.________i. La présidente : La greffière : Du 3 septembre 2013 Le dispositif du jugement qui précède est communiqué aux appelants et aux autres intéressés. La greffière : Du Le jugement qui précède, dont la rédaction a été approuvée à huis clos, est notifié, par l'envoi d'une copie complète, à : - Me Rodolphe Petit, avocat (pour K.________), - Me Christine Raptis, avocate (pour Z.________), - Ministère public central, et communiqué à : - Monsieur le Président du Tribunal de police de l’arrondissement de la Côte, - M. le Procureur du Ministère public de l’arrondissement de la Côte,</w:t>
      </w:r>
    </w:p>
    <w:p>
      <w:r>
        <w:t>- 24 - - Office d’exécution des peines,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