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PE09.001469 vom 23. Februar 2012</w:t>
      </w:r>
    </w:p>
    <w:p>
      <w:r>
        <w:t>VD Tribunal cantonal, 2012-02-23, FR</w:t>
      </w:r>
    </w:p>
    <w:p>
      <w:r>
        <w:rPr>
          <w:b/>
        </w:rPr>
        <w:t xml:space="preserve">Quelle: </w:t>
      </w:r>
      <w:r>
        <w:t>https://mcp.opencaselaw.ch/entscheid/vd_gerichte_PE09.001469</w:t>
      </w:r>
    </w:p>
    <w:p>
      <w:r>
        <w:t>FR: VD_GERICHTE PE09.001469 du 23 février 2012</w:t>
      </w:r>
    </w:p>
    <w:p>
      <w:r>
        <w:t>IT: VD_GERICHTE PE09.001469 del 23 febbraio 2012</w:t>
      </w:r>
    </w:p>
    <w:p>
      <w:pPr>
        <w:pStyle w:val="Heading2"/>
      </w:pPr>
      <w:r>
        <w:t>Erwägungen</w:t>
      </w:r>
    </w:p>
    <w:p>
      <w:r>
        <w:rPr>
          <w:b/>
        </w:rPr>
        <w:t>E. 11</w:t>
      </w:r>
    </w:p>
    <w:p>
      <w:r>
        <w:t>novembre 2005, disposait que « L’entrée en jouissance des actions vendues, objet de la présente convention, est fixée - sous réserve de paiement par l’acquéreur – au 11 novembre 2005, ou au jour de la date de</w:t>
      </w:r>
    </w:p>
    <w:p>
      <w:r>
        <w:t>- 12 - réception par le vendeur du paiement défini à l’article 03 ci-dessus. Dès cette date, tous les droits et obligations inhérents aux actions d’I.________ et en particulier le droit au dividende intégral relatif à l’exercice 2005 présentement en cours, sont définitivement acquis au seul acquéreur. » (P. 5/20) et l’art. 5 de la deuxième convention signée le 13 décembre 2005, disposait que « L’entrée en jouissance des actions vendues, objet de la présente convention, est fixée sous réserve de paiement par l’acquéreur au 1er mai 2006, ou à réception par le vendeur du paiement défini à l’article 03 ci-dessus. Dès cette date, tous les droits et obligations inhérents aux actions de I.________ et en particulier le droit au dividende intégral relatif à l’exercice 2005 présentement en cours, sont définitivement acquis au seul acquéreur. ». Dans cette deuxième convention, S.________ a accepté de figurer comme codébiteur solidaire de G.________ (P. 5/22). Malgré les promesses de S.________ (5/21, 5/23-5/23/10, 5/24), le versement des 400'000 euros par G.________ à P.________ n’a pas eu lieu, de sorte que ce dernier n’a pas procédé à la cession de ses actions à G.________. 2.2 Début 2008, à la suite d'une décision d'I.________ qui prévoyait la suppression des intermédiaires titulaires d'actions, S.________ a regroupé pour son propre compte les actions que G.________ détenait pour devenir ainsi propriétaire en direct de la totalité des actions, dont les 15'000 actions que G.________ détenait pour le compte de P.________, sans toutefois payer ces actions à G.________, ni même à P.________. 3. P.________ n’ayant pas obtenu la somme de 400'000 euros a, dans un premier temps, introduit une procédure civile par une réquisition de poursuite en 2007 (P. 23; P. 24ter). Le 23 janvier 2009, il a déposé plainte pénale contre S.________ pour escroquerie, abus de confiance et gestion déloyale et s’est constitué partie civile pour tenter de recouvrer ses fonds (P. 4).</w:t>
      </w:r>
    </w:p>
    <w:p>
      <w:r>
        <w:t>- 13 - P.________ a cependant retiré sa plainte le 15 février 2011, ainsi que sa constitution de partie civile, suite à l’accord intervenu entre les parties et prévoyant le remboursement par S.________ des 400'000 euros (P. 89). En d roit : 1. 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L'appel joint doit être interjeté dans un délai de vingt jours dès la réception de la déclaration d'appel (art. 400 al. 3 CPP). Le Ministère public a, de droit, la qualité pour recourir, soit pour interjeter appel (art. 381 al. 1 CPP). Interjeté dans les forme et délai légaux par une partie ayant la qualité pour recourir contre le jugement d’un tribunal de première instance ayant clos la procédure (art. 398 al. 1 CPP), l'appel du Ministère public, suffisamment motivé au sens de l’art. 399 al. 3 et 4 CPP,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t>- 14 -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 3. Le Ministère public soutient que tant les conditions objectives que subjectives de l'infraction d'abus de confiance sont réalisées. 3.1 Aux termes de l'art. 138 ch. 1 CP, se rend coupable d'abus de confiance celui qui, pour se procurer ou procurer à un tiers un enrichissement illégitime, se sera approprié une chose mobilière appartenant à autrui et qui lui avait été confiée (al. 1), de même que celui qui, sans droit, aura employé à son profit ou au profit d'un tiers des valeurs patrimoniales qui lui avaient été confiées (al. 2). 3.1.1 Sur le plan objectif, cette disposition suppose que l'auteur ait utilisé, sans droit, à son profit ou au profit d'un tiers, des valeurs patrimoniales qui lui avaient été confiées. Il y a emploi illicite d'une valeur patrimoniale confiée lorsque l'auteur l'utilise contrairement aux instructions reçues, en s'écartant de la destination fixée. L'alinéa 2 de cette disposition ne protège par la propriété mais la créance de celui qui a fait confiance,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L'art. 138 ch. 1 al. 2 CP présente ainsi la particularité d'englober des hypothèses pour lesquelles les valeurs patrimoniales n'appartiennent pas nécessairement à autrui sur le plan civil et peuvent au contraire être propriété de l'auteur lui-même. Il est toutefois nécessaire</w:t>
      </w:r>
    </w:p>
    <w:p>
      <w:r>
        <w:t>- 15 - que les valeurs patrimoniales appartiennent à autrui d'un point de vu économique. Tel est le cas lorsque l'auteur est tenu de les conserver à la disposition du lésé, de sorte que ce dernier en représente l'ayant droit à défaut d'en être le propriétaire au sens juridique du terme (ATF 133 IV 21 c. 6.2; ATF 120 IV 117 c. 2e). D'un point de vue subjectif, l'intention doit porter sur tous les éléments constitutifs de l'infraction. Il faut aussi, dans tous les cas d'abus de confiance, que l'auteur ait eu l'intention de se procurer ou de procurer à un tiers un enrichissement illégitime. Cette dernière condition est remplie lorsque celui qui devait tenir en tout temps le bien confié à disposition de l'ayant droit l'a utilisé à son profit ou au profit d'un tiers sans avoir à tout moment la volonté et la possibilité de le restituer immédiatement (ATF 118 IV 27 c. 3a et les références citées; Niggli/Riedo, Basler Kommentar, Strafrecht II, 2ème édition, Bâle 2007, n. 105 à 126 ad art. 138 CP; TF 6S.86/2001 du 10 avril 2001 c. 2a, ad CCASS, 3 août 2000, n. 483; CCASS,</w:t>
      </w:r>
    </w:p>
    <w:p>
      <w:r>
        <w:rPr>
          <w:b/>
        </w:rPr>
        <w:t>E. 14</w:t>
      </w:r>
    </w:p>
    <w:p>
      <w:r>
        <w:t>septembre 2009, n. 382). Le dessein d'enrichissement s'entend de tout avantage économique, lequel réside ordinairement dans la valeur du bien obtenu, ou encore dans sa valeur d'aliénation ou d'usage (CCASS, 21 avril 1999, n° 201) et peut être réalisé par dol éventuel (ATF 118 IV 32 c. 2a); tel est le cas, lorsque l'auteur envisage l'enrichissement comme possible et s'il agit néanmoins, même s'il ne le souhaite pas, parce qu'il s'en accommode pour le cas où il se produirait (TF 6S.86/2001, précité, c. 2a; ATF 121 IV 249 c. 3a). Le Tribunal fédéral admet que si l'auteur a la volonté et la possibilité de restituer ultérieurement la chose, il se procure un enrichissement illégitime momentané, ce qui suffit à justifier une condamnation (ATF 121 IV 23; ATF 118 IV 27 précité, c. 3a; CCASS, 26 mars 2001, n° 53; Corboz, Les infractions en droit suisse, Berne 2002, nn. 20ss. ad art. 138 CP, pp. 229- 230). Le dessein d'enrichissement illégitime fait en revanche défaut si, au moment de l'emploi illicite de la valeur patrimoniale confiée, l'auteur en paie la contre-valeur (ATF 107 IV 166 c. 2a), s'il avait à tout moment la possibilité de le faire (ATF 105 IV 39 c. 3).</w:t>
      </w:r>
    </w:p>
    <w:p>
      <w:r>
        <w:t>- 16 - 3.1.2 L'art. 18 al. 1 CO dispose que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Pour interpréter une clause contractuelle selon la théorie de la confiance, le juge doit rechercher comment cette clause pouvait être comprise de bonne foi en fonction de l'ensemble des circonstances (interprétation dite objective; ATF 132 III 268 c. 2.3.2; ATF 131 III 606 c. 4.1). Le principe de la confiance permet d'imputer à une partie le sens objectif de sa déclaration ou de son comportement, même si celui-ci ne correspond pas à la volonté intime de l'intéressé (ATF 130 III 417 c. 3.2; ATF 129 III 118 c. 2.5; ATF 128 III 419 c. 2.2 et les références doctrinales). Pour trancher cette question de droit, il faut cependant se fonder sur le contenu de la manifestation de volonté et sur les circonstances, lesquelles relèvent du fait (ATF 132 III 268 c. 2.3.2; ATF 131 III 586 c. 4.2.3.1; ATF 130 III 417 c. 3.2). Les circonstances déterminantes sont celles qui ont précédé ou accompagné la manifestation de volonté (ATF 131 III 377 c. 4.2 et l'arrêt cité), à l'exclusion des événements postérieurs (ATF 118 II 365 c. 1 ; ATF 112 II 337 c. 4a).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(ATF 131 III 606 précité, c. 4.2). Il n'y a cependant pas lieu de s'écarter du sens littéral du texte adopté par les cocontractants lorsqu'il n'existe aucune raison sérieuse de penser qu'il ne correspond pas à leur volonté (ATF 129 III 118 c. 2.5; ATF 128 III 265 c. 3a). 3.2</w:t>
      </w:r>
    </w:p>
    <w:p>
      <w:r>
        <w:t>- 17 - 3.2.1 Tout d'abord, le témoin H.________ a confirmé lors des débats d'appel que I.________ n'a jamais émis les actions au porteur à l'origine de la présente cause. Il convient donc d'examiner l'application de l'art. 138 ch. 1 al. 2 CP, soit l'emploi sans droit de valeurs patrimoniales confiées, et non pas de l'appropriation d'une chose mobilière. Les premiers juges ont retenu que les parties avaient distingué dans leurs rapports juridiques, les droits sociaux liés aux actions au porteur, qui ont toujours été exercés par G.________, et les droits patrimoniaux. Considérant, selon une interprétation de l'art. 5 de la convention de cession du 13 décembre 2005, que les droits patrimoniaux avaient été cédés à cette date à l'intimé, les premiers juges ont retenu qu'une condition objective de punissabilité de l'art. 138 ch. 1 al. 2 CP faisait défaut, dès lors que S.________ était devenu propriétaire des valeurs patrimoniales confiées. 3.2.2 Cette analyse ne saurait toutefois être confirmée au vu de la jurisprudence rappelée ci-dessus. Il est en effet indéniable que P.________ demeurait le propriétaire économique des actions au porteur tant que n'intervenait pas le paiement du montant convenu de 400'000 euros. En outre, S.________, qui s'était vu confier les actions à titre fiduciaire au nom de G.________ aux termes du contrat conclu le 17 novembre 2004, restait tenu, selon le rapport de confiance qui en découlait, d'assurer le remboursement de ce montant. C'est d'ailleurs le seul sens que l'on doit donner à la convention de cession d'actions du 13 décembre 2005, non seulement en examinant l'art. 5 dudit contrat, mais l'ensemble des clauses prévues, selon la réelle et commune intention des parties. En particulier, on ne saurait suivre les premiers juges lorsqu'ils affirment que la clause incriminée signifiait que seul le droit au dividende était réservé jusqu'au paiement du prix, la titularité des actions étant transférée dès la conclusion du contrat. Il suffit de se référer à l'art. 3 auquel l'art. 5 renvoie pour comprendre que le prix de vente exact était défini par un montant en capital de 400'000 euros, augmenté d'intérêts dès le 1er octobre 2005, payable au plus tard le 1er mai 2006, les droits et obligations inhérents aux actions étant transférés dès la date de ce paiement. On comprend ainsi que la cession devait intervenir au plus tard</w:t>
      </w:r>
    </w:p>
    <w:p>
      <w:r>
        <w:t>- 18 - jusqu'au 1er mars 2006, le prix de vente des actions étant calculé conformément à l'intérêt couru depuis le 1er octobre 2005. Par la suite, S.________ n'a pas compris autrement l'exécution de la convention, puisqu'il a assuré P.________ du versement des fonds à plusieurs reprises. Le calcul des intérêts effectués dans le courriel du 15 mai 2006 atteste également d'une interprétation des art. 3 et 5 du contrat conforme à ce qui figure ci-dessus. Il faut donc admettre que la volonté commune des parties était de céder la titularité des actions au moment du paiement du prix. S.________ a ensuite invoqué le fait que les titres étaient toujours restés en main de G.________ pour expliquer le retard dans l'exécution du contrat, assurant à nouveau le transfert imminent des fonds. Détenant les actions de P.________ manifestement sans en être le propriétaire économique, pas plus que G.________ d'ailleurs, S.________ en a disposé en 2008 lorsqu'il a repris en son nom propre la titularité de toutes les actions au porteur d'I.________. Plutôt que de restituer les 400'000 euros à P.________, il a résisté à ses prétentions jusqu'à la convention du 24 novembre 2010 conclue devant le juge instructeur de la Cour civile. Au vu de ce qui précède, les actions achetées par G.________, ont été utilisées par S.________ de manière contraire au but assigné par la convention de fiducie du 17 novembre 2004. A l'audience de première instance, S.________ a admis qu'il aurait pu s'acquitter plus rapidement du remboursement des 400'000 euros, ce qui constitue un dessein d'enrichissement temporaire. Partant, et contrairement à ce qu'ont retenu les premiers juges, les éléments objectifs de l'abus de confiance sont réalisés. 3.2.3 S'agissant de l'élément subjectif, le tribunal de première instance a considéré qu'il n'y avait pas eu d'intention dolosive de la part de S.________, qui a pu être conforté dans l'idée que c'était bien G.________ qui était à nouveau titulaire des actions, d'autant qu'il s'était écoulé plus de deux ans entre la convention du 13 décembre 2005 et le changement de titularité des actions début 2007</w:t>
      </w:r>
    </w:p>
    <w:p>
      <w:r>
        <w:t>- 19 - à la suite d'une décision d'I.________. Selon les premiers juges, S.________ aurait été d'autant plus conforté dans cette conception erronée que sa partie adverse n'a jamais réclamé la restitution des actions dans le cadre de la procédure civile. Cette interprétation ne saurait être partagée. L'intimé a sans cesse promis le remboursement des 400'000 euros à P.________, ceci jusqu'à l'ouverture de la procédure civile, dans le cadre de laquelle il a obstinément opposé une fin de non recevoir. On ne peut reprocher à P.________ de ne pas avoir demandé la restitution des actions au porteur dans la mesure où, comme on l'a démontré ci-dessus, il pensait à raison en être toujours le propriétaire. Ce n'est, en outre, pas la restitution des actions, mais leur remboursement qui devait être effectué. Il est dès lors établi que, confronté aux demandes répétées de paiement de P.________, l'intimé était manifestement conscient de son enrichissement illégitime et, qu'en ne donnant pas suite à ces demandes, alors même qu'il admet avoir eu la capacité financière de le faire, il s'est enrichi temporairement, jusqu'à l'exécution de la transaction finalement conclue le 24 novembre 2010. Le Ministère public a d'ailleurs calculé le bénéfice de cet enrichissement temporaire, sur le différentiel du taux de change, et l'a évalué à 87'260 francs. L'élément subjectif est dès lors avéré et l'infraction d'abus de confiance réalisée, à tout le moins par dol éventuel. Compte tenu de l'ensemble de ces éléments, les conditions objectives et subjectives de l'abus de confiance au sens de l'art. 138 ch. 1 al. 2 CP sont réalisées. L'appel est admis sur ce point et le jugement entrepris réformé en ce sens que S.________ est reconnu coupable d'abus de confiance. 4. Le Ministère public a requis le prononcé d'une peine privative de liberté de dix-huit mois assortie du sursis pendant trois ans. 4.1</w:t>
      </w:r>
    </w:p>
    <w:p>
      <w:r>
        <w:t>- 20 - 4.1.1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 4.1.2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Lorsqu’il accorde le sursis, le juge fixe un délai d’épreuve de deux à cinq ans (art. 44 al. 1 CP). Les critères de fixation de ce délai ne sont pas précisés par la loi. La durée du délai d'épreuve ne saurait être fixée uniquement d'après la durée de la peine ou la gravité de l'infraction. Bien plus, le critère déterminant est le risque de récidive, qui se détermine d’après le caractère du condamné (Roth et Moreillon [éd.], Commentaire romand,</w:t>
      </w:r>
    </w:p>
    <w:p>
      <w:r>
        <w:t>- 21 - Bâle 2009, n. 7 ad art. 44 CP). Le juge doit tenir compte des circonstances du cas d’espèce, en particulier de la personnalité et du caractère du condamné ainsi que du risque de récidive; plus ce risque est sérieux et plus le délai d’épreuve sera long (Favre/Pellet/Stoudmann, Code pénal annoté, 3ème éd. 2007, n. 2 ad art. 44 CP). Dans la mesure où la décision est fondée sur tous les éléments pertinents pour le pronostic futur, le juge jouit en la matière d'un large pouvoir d'appréciation (ATF 128 IV 193; ATF 118 IV 97, JT 1992 I 783 c. 2a; ATF 116 IV 279 c. 2a). 4.2 En l'occurrence, il convient de retenir à charge de l'intimé le fait qu'il a sciemment menti à P.________ à plusieurs reprises et durant plusieurs années, et que le montant de l'enrichissement illicite temporaire est important. A décharge de S.________ il convient de prendre en considération le remboursement des 400'000 euros, finalement intervenu dans le cadre de la transaction civile passée en novembre 2010. Au vu de l’ensemble de ces éléments et compte tenu de la situation personnelle de l'intimé, une peine privative de liberté de quinze mois se justifie. Au surplus, le sursis doit être accordé dans la mesure où S.________ en remplit les conditions, le délai d'épreuve minimum de deux ans étant adéquat compte tenu du de l'absence de tout antécédent. 5. Le Ministère public demande également le prononcé d'une créance compensatrice équivalent au bénéfice réalisé par S.________ sur le change francs suisses - euros. 5.1 Aux termes de l'art. 71 CP, lorsque les valeurs patrimoniales à confisquer ne sont plus disponibles, le juge ordonne leur remplacement par une créance compensatrice de l'Etat d'un montant équivalent; elle ne peut être ordonnée contre un tiers que dans la mesure où les conditions de l'art. 70 al. 2 CP, ne sont pas réalisées (al. 1). Le juge peut renoncer totalement ou partiellement à la créance compensatrice s'il est à prévoir</w:t>
      </w:r>
    </w:p>
    <w:p>
      <w:r>
        <w:t>- 22 - qu'elle ne serait pas recouvrable ou qu'elle entraverait sérieusement la réinsertion de la personne concernée (al. 2). Le but de cette créance compensatrice est d'éviter que celui qui a disposé des objets ou valeurs à confisquer soit privilégié par rapport à celui qui les a conservés; elle ne joue qu'un rôle de substitution de la confiscation en nature et ne doit donc, par rapport à celle-ci, engendrer ni avantage ni inconvénient (ATF 126 IV 70 c. 3). 5.2 Dans le cas d'espèce, les parties ont passé une convention en novembre 2010 qui règle de manière exhaustive les modalités du dédommagement de P.________ par S.________ (P. 85). C'est ainsi que ce dernier a remboursé à P.________ ses 400'000 euros, sans que la question du bénéfice réalisé sur le taux de change ne fasse l'objet d'une clause particulière. La pratique veut que le juge pénal ne revienne pas sur une transaction civile qui a abouti, sous peine de voir l'Etat devenir créancier dans tous les rapports civils. La créance compensatrice requise par le Parquet n'ayant plus son rôle de substitution à la confiscation, il n'y a pas lieu d'en prononcer une. Ce grief, mal fondé, doit être rejeté. 6. En définitive, l'appel du Ministère public est partiellement admis en ce sens que S.________ est condamné à une peine privative de liberté de 15 mois avec sursis durant deux ans, pour abus de confiance. Les frais de la procédure d'appel son arrêtés à 2'130 fr., en application des art. 21 et 23 TFJP (Tarif des frais judiciaires pénaux, RSV 312.03.1). Vu l'issue de la cause et compte tenu du fait que S.________ a conclu au rejet de l'appel, les frais de la procédure d'appel à raison de deux tiers, par 1'420 fr., sont mis à sa charge, le solde étant laissé à la charge de l’Etat (art. 428 al. 1 CPP).</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