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PE09.001427 vom 7. Juni 2012</w:t>
      </w:r>
    </w:p>
    <w:p>
      <w:r>
        <w:t>VD Tribunal cantonal, 2012-06-07, FR</w:t>
      </w:r>
    </w:p>
    <w:p>
      <w:r>
        <w:rPr>
          <w:b/>
        </w:rPr>
        <w:t xml:space="preserve">Quelle: </w:t>
      </w:r>
      <w:r>
        <w:t>https://mcp.opencaselaw.ch/entscheid/vd_gerichte_PE09.001427</w:t>
      </w:r>
    </w:p>
    <w:p>
      <w:r>
        <w:t>FR: VD_GERICHTE PE09.001427 du 7 juin 2012</w:t>
      </w:r>
    </w:p>
    <w:p>
      <w:r>
        <w:t>IT: VD_GERICHTE PE09.001427 del 7 giugno 2012</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Kuhn/Jeanneret</w:t>
      </w:r>
    </w:p>
    <w:p>
      <w:r>
        <w:t>- 4 - (éd.), op. cit., n. 2 ad art. 395 CPP, p. 1763; Schmid, Handbuch des schweizerischen Strafprozessrechts, 2009, n. 1521, p. 697; Stephenson/Thiriet,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 En l'occurrence, le dispositif du jugement du 7 juin 2012 indique qu'un montant de 3'314 fr. 85 a été alloué à Me C.________ à titre d'indemnité d'office. Il ressort toutefois de la motivation du jugement, en page 25, que le mandat d'office du recourant a été rétribué à raison de seize heures (quatre heures en 2009/2010, douze heures en 2011/2012), auxquelles s'ajoutent des débours de respectivement 109 fr. 35 et 83 fr., soit avec la TVA de respectivement 7.6% et 8%, un total de 892 fr. 40 pour la première période (2009/2010) et de 2'422 fr. 45 pour la seconde (2011/2012), d'où un total de 3'314 fr. 85. Le recourant réclame un montant total de 7'194 fr. 35, qui se compose, pour la première période, d'un montant de 2'131 fr. 95 (dix heures et vingt-quatre minutes à 180 fr. de l'heure, plus la TVA à 7,6%, plus 117 fr. 65 de débours) et pour la seconde période, d'un montant de 5'062 fr. 40 (vingt-quatre heures et vingt minutes à 180 fr. de l'heure, plus la TVA à 8%, plus 89 fr. 65 de débours, plus 243 fr. correspondant au temps consacré à l'audience de jugement du 7 juin 2012 et à la lecture de jugement intervenue le jour même). Le montant litigieux s’élève ainsi à 3'879 fr. 50, de sorte que le recours relève de la compétence d'un juge unique de la Chambre des</w:t>
      </w:r>
    </w:p>
    <w:p>
      <w:r>
        <w:t>- 5 - recours pénale (art. 395 let. b CPP; cf. CREP 9 novembre 2011/477; CREP 5 mai 2011/133; CREP 2 mars 2011/36).</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TF 6B_273/2009 du 2 juillet 2009 c.</w:t>
      </w:r>
    </w:p>
    <w:p>
      <w:r>
        <w:rPr>
          <w:b/>
        </w:rPr>
        <w:t>E. 2.1</w:t>
      </w:r>
    </w:p>
    <w:p>
      <w:r>
        <w:t>; cf. aussi art. 2 al. 1 du règlement sur l’assistance judiciaire en matière civile [RSV 211.02.3] et TF 4C_2/2011 du 17 mai 2011).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w:t>
      </w:r>
    </w:p>
    <w:p>
      <w:r>
        <w:t>- 6 -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En l’espèce, le Tribunal correctionnel de l'arrondissement de Lausanne a alloué au recourant, en sa qualité de défenseur d'office de P.________, une indemnité correspondant à seize heures de travail (quatre heures en 2009/2010 et douze heures en 2011/2012). Le recourant se plaint de ce que le montant octroyé ne correspond pas au temps effectivement consacré au dossier. Il estime en effet avoir employé dix heures et vingt-quatre minutes pour la période 2009/2010, vingt-quatre heures et vingt minutes pour la période 2011/2012 et une heure et quinze minutes pour l'audience de jugement du 7 juin 2012 et la lecture de jugement intervenue le jour même, soit un total de trente-cinq heures et cinquante-neuf minutes. La décision litigieuse expose les motifs qui ont conduit le Tribunal d'arrondissement de Lausanne à considérer que le travail du défenseur d'office de P.________ devait être rétribué à raison de seize heures uniquement. Les premiers juges ont considéré que la défense des intérêts de P.________ ne présentait pas de difficultés particulières au vu de la nature de la cause et des éléments au dossier. En procédant à une évaluation du temps nécessaire aux différentes opérations alléguées par le recourant, il ont estimé que les trois conférences indiquées avaient nécessité deux heures en totalité, qu'une heure pour 2009/2010 et deux heures pour 2011/2012 devaient être comptabilisées pour la rédaction des correspondances, que six heures avaient été nécessaires à l'étude du dossier, et qu'enfin les différentes audiences avaient duré cinq heures, soit seize heures de travail toutes opérations confondues. L'argumentation développée par le Tribunal correctionnel ne peut qu'être confirmée. En effet, à l'instar des premiers juges, on constate</w:t>
      </w:r>
    </w:p>
    <w:p>
      <w:r>
        <w:t>- 7 - que la cause ne présentait pas de grandes difficultés ni en fait ni en droit, le prévenu étant renvoyé devant le tribunal pour des lésions corporelles commises au préjudice de ses proches et pour s'être approprié un véhicule pris en leasing, auprès de [...], par la société dont il était l'administrateur. Les arguments avancés par l'avocat C.________, soit le nombre de procédures jointes, les qualifications pénales et la correctionnalisation de la procédure, ne sauraient être pris en compte puisqu'il ne sont pas déterminants pour apprécier la simplicité ou la difficulté de la cause. Même si la procédure s'est étalée sur quatre ans, notamment en raison de la suspension de l'instruction par le Tribunal correctionnel pour une durée de six mois en mai 2011, les trente-cinq heures et cinquante-neuf minutes réclamées par le recourant apparaissent disproportionnée au regard des opérations nécessaires à la bonne conduite du mandat d'office. Les estimations effectuées par les premiers juges s'agissant du temps nécessaire à chacune des opérations alléguées par le défenseur d'office ne prêtent pas le flanc à la critique. Le fait que les premiers juges aient retenus un nombre d'heures plus important que celles mentionnées par le recourant dans l'appréciation du temps consacré aux conférences ne saurait être critiqué dans la mesure où cette situation profite au recourant. Outre les motifs invoqués par les premiers juges, on relèvera que le temps consacré à l'étude du dossier (dix-huit heures et trente minutes selon le recourant), même étalé sur une période de quatre ans, est excessif compte tenu de la complexité et du volume de la procédure. De même, les multiples cinq minutes comptabilisées pour chaque transmission d'une copie de lettre à un tiers à la procédure ne doivent pas être prises en compte, puisque, dans cette opération, le travail de l'avocat d'office ne nécessite qu'un temps très bref car son activité se limitant à instruire la secrétaire, puis à signer la lettre d'envoi. Ainsi, on ne saurait considérer que les premiers juges ont abusé de leur pouvoir d'appréciation, en fixant l'indemnité due à l'avocat C.________ à 3'314 fr. 85, ce qui correspond à seize heures de travail auxquelles s'ajoutent la TVA et les débours.</w:t>
      </w:r>
    </w:p>
    <w:p>
      <w:r>
        <w:rPr>
          <w:b/>
        </w:rPr>
        <w:t>E. 3</w:t>
      </w:r>
    </w:p>
    <w:p>
      <w:r>
        <w:t>En définitive, le recours, mal fondé, doit être rejeté. Les frais de la procédure de recours, constitués du seul émolument d'arrêt (art. 422 al. 1 CPP), par 630 fr. (art. 20 al. 1 TFJP [tarif des frais judiciaires pénaux;</w:t>
      </w:r>
    </w:p>
    <w:p>
      <w:r>
        <w:t>- 8 - RSV 312.03.1]), sont mis à la charge de C.________ qui succombe (art. 428 al. 1 CPP). Par ces motifs, le Juge de la Chambre des recours pénale, statuant à huis clos, prononce : I. Le recours est rejeté. II. La décision fixant à 3'314 fr. 85 l'indemnité due à Me C.________ en sa qualité de défenseur d'office de P.________ est confirmée. III. Les frais de la procédure de recours, par 630 fr. (six cent trente francs), sont mis à la charge de C.________. IV. Le présent arrêt est exécutoire. Le juge : Le greffier : Du L'arrêt qui précède, dont la rédaction a été approuvée à huis clos, est notifiée, par l'envoi d'une copie complète, à : - M. C.________, - Ministère public central, et communiquée à : - Direction de la procédure: Tribunal correctionnel de l'arrondissement de Lausanne,</w:t>
      </w:r>
    </w:p>
    <w:p>
      <w:r>
        <w:t>- 9 -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