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PE08.028157 vom 25. Juli 2013</w:t>
      </w:r>
    </w:p>
    <w:p>
      <w:r>
        <w:t>VD Tribunal cantonal, 2013-07-25, FR</w:t>
      </w:r>
    </w:p>
    <w:p>
      <w:r>
        <w:rPr>
          <w:b/>
        </w:rPr>
        <w:t xml:space="preserve">Quelle: </w:t>
      </w:r>
      <w:r>
        <w:t>https://mcp.opencaselaw.ch/entscheid/vd_gerichte_PE08.028157</w:t>
      </w:r>
    </w:p>
    <w:p>
      <w:r>
        <w:t>FR: VD_GERICHTE PE08.028157 du 25 juillet 2013</w:t>
      </w:r>
    </w:p>
    <w:p>
      <w:r>
        <w:t>IT: VD_GERICHTE PE08.028157 del 25 luglio 2013</w:t>
      </w:r>
    </w:p>
    <w:p>
      <w:pPr>
        <w:pStyle w:val="Heading2"/>
      </w:pPr>
      <w:r>
        <w:t>Erwägungen</w:t>
      </w:r>
    </w:p>
    <w:p>
      <w:r>
        <w:rPr>
          <w:b/>
        </w:rPr>
        <w:t>E. 1</w:t>
      </w:r>
    </w:p>
    <w:p>
      <w:r>
        <w:t>Interjeté dans le délai légal (art. 322 al. 2 CPP [Code de procédure pénale suisse du 5 octobre 2007; RS 312.0] et 396 al. 1 CPP) contre une décision du Ministère public (art. 393 al. 1 let. a CPP), le recours est déposé en temps utile; il satisfait en outre aux autres conditions légales (art. 385 al. 1 CPP), de sorte qu’il est recevable en la forme.</w:t>
      </w:r>
    </w:p>
    <w:p>
      <w:r>
        <w:t>- 5 -</w:t>
      </w:r>
    </w:p>
    <w:p>
      <w:r>
        <w:rPr>
          <w:b/>
        </w:rPr>
        <w:t>E. 2</w:t>
      </w:r>
    </w:p>
    <w:p>
      <w:r>
        <w:t>a) Aux termes de l’art. 382 CPP, toute partie qui a un intérêt juridiquement protégé à l’annulation ou à la modification d’une décision a qualité pour recourir contre celle-ci (al. 1). La partie plaignante ne peut pas interjeter recours sur la question de la peine ou de la mesure prononcée (al. 2). Dans un récent arrêt de principe, le Tribunal fédéral a admis que le lésé (art. 115 CPP) qui s'est constitué partie plaignante sur le plan pénal (art. 118 al. 1 et 119 al. 2 let. a CPP) est habilité à former appel pour ce qui concerne la culpabilité du prévenu, indépendamment de la prise de conclusions civiles. Il suffit d’être lésé, c'est-à-dire une personne dont les droits ont été touchés directement par une infraction, un dommage n’étant toutefois pas nécessaire (ATF 139 IV 78 c. 3, spéc. 3.3.3). Dès lors que la partie plaignante est habilitée à former appel sur la culpabilité, on en déduit qu'elle dispose d'un intérêt au sens de l'art. 382 al. 1 CPP à former un appel non seulement pour contester un acquittement mais aussi pour mettre en cause la qualification juridique retenue contre le prévenu en première instance si elle considère qu'une autre qualification juridique s'impose, en particulier une qualification plus grave. Il faut en effet lui reconnaître un intérêt à invoquer une autre qualification, laquelle est susceptible d'avoir une incidence sur l'appréciation de l'atteinte qu'elle a subie (ATF 139 IV 84 c. 1.1). Ce raisonnement s’applique par analogie au recours de la partie plaignante contre une ordonnance par laquelle le procureur ordonnerait le classement de la procédure dirigée contre un prévenu pour certaines infractions, dès lors que l’art. 382 al. 1 CPP s’applique aussi bien à la procédure d’appel qu’à la procédure de recours. b) Toutefois,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(Camille</w:t>
      </w:r>
    </w:p>
    <w:p>
      <w:r>
        <w:t>- 6 - Perrier, in: Kuhn/Jeanneret (éd.), Commentaire romand, Code de procédure pénale suisse, Bâle 2011, n. 6 et 8 ad art. 115 CPP et les arrêts cités; Goran Mazzuchelli/Mario Postizzi, in: Niggli/Heer/Wiprächtiger (éd.), Basler Kommentar, Schweizerische Strafprozessordnung, Jugendstrafprozessordnung, Bâle 2011, n. 21 ad art. 115 CPP). Les droits lésés directement par l’infraction doivent être des biens juridiques individuels; il peut s’agir de la vie, de l’intégrité corporelle, de la propriété, de l’honneur ou encore de la liberté personnelle (Perrier, op. cit., n. 10 ad art. 115 CPP). Pour déterminer si une personne est lésée par une infraction, il convient ainsi d’interpréter le texte de la disposition pour savoir qui est le titulaire du bien juridique que celle-ci protège (Perrier, op. cit., n. 8 ad art. 115 CPP). c) Le seul bien juridique protégé par l'art. 146 CP est le patrimoine (ATF 122 IV 197 c. 2c p. 203; Markus Boog, Die Rechtsprechung des Bundesgerichts zum Begriff des Vermögensschadens beim Betrug, 1991, p. 7 s. et auteurs cités). La personne aux dépens de laquelle est commise l'escroquerie, soit le titulaire du bien juridique protégé, est ainsi celle dont les intérêts pécuniaires sont lésés, non l'éventuel dupé afin de causer cette atteinte. Que l'art. 146 al. 1 CP utilise le terme "victime" pour désigner la personne dupée ne change rien à ce que cette disposition vise à sanctionner l'atteinte au patrimoine à la suite de la tromperie (TF 6B_525/2012 du 5 novembre 2012 c. 3.3). d) En l’espèce, les associations plaignantes sont donc bien des parties à la procédure au sens de l’art. 118 CPP dès lors qu’elles sont demanderesses au civil et au pénal. Toutefois, la question de savoir si elles ont la qualité de lésées au sens de l’art. 115 CPP – et par conséquent la qualité pour recourir contre la décision de classement – est plus délicate. En effet, l’usurpation de nom ou les méthodes de vente ou de publicité propres à faire naître une confusion au sens de l'art. 3 let. d LCD sont susceptibles de fonder une action en remise de gain (TF 4A_474/2012 du 8 février 2013 c. 4.1 et les références citées). En revanche, il est douteux que, s’agissant des faits reprochés en l’espèce aux prévenus, on puisse considérer comme étant lésés dans leurs intérêts pécuniaires au sens de l’art. 146 CP non seulement les personnes qui ont versé des</w:t>
      </w:r>
    </w:p>
    <w:p>
      <w:r>
        <w:t>- 7 - sommes au prévenu, mais également les associations recourantes qui n’ont pas subi de dommage direct. Cette question peut toutefois rester indécise, dès lors que le recours doit de toute façon être rejeté pour les motifs exposés ci-dessous.</w:t>
      </w:r>
    </w:p>
    <w:p>
      <w:r>
        <w:rPr>
          <w:b/>
        </w:rPr>
        <w:t>E. 3</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op. cit.,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Conseil fédéral du 21 décembre 2005 relatif à l'unification du droit de la procédure pénale, FF 2006, p. 1255 ad art. 320 CPP).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w:t>
      </w:r>
    </w:p>
    <w:p>
      <w:r>
        <w:t>- 8 - prononcer. Au stade de la mise en accusation, le principe "in dubio pro reo", relatif à l'appréciation des preuves par l'autorité de jugement, ne s'applique donc pas. C'est au contraire la maxime "in dubio pro duriore" qui impose, en cas de doute, une mise en accusation (ATF 137 IV 219; ATF 138 IV 86 c. 4.1.1; ATF 138 IV 186).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4</w:t>
      </w:r>
    </w:p>
    <w:p>
      <w:r>
        <w:t>a) Les recourantes contestent le classement de la procédure pénale dirigée contre X.________ pour escroquerie, estimant que les éléments constitutifs de cette infraction, en particulier l’astuce, seraient réalisés. b) L'escroquerie au sens de l'art. 146 CP suppose en particulier que l'auteur ait usé de tromperie et que celle-ci ait été astucieuse (ATF 128 IV 18 c. 3a; ATF 122 II 422 c. 3a; ATF 122 IV 246 c. 3a et les arrêts cités). Il y a astuce, au sens de la jurisprudence, lorsque l'auteur recourt à des manoeuvres frauduleuses, à une mise en scène comportant des documents ou des actes ou à un échafaudage de mensonges qui se recoupent de façon si raffinée que même une victime critique se laisserait tromper. Il y a ainsi manoeuvre frauduleuse, par exemple, si l'auteur emploie un document faux ou fait intervenir, à l'appui de sa tromperie, un tiers participant ou manipulé. L'astuce sera également retenue si, en fonction des circonstances, une vérification ne pouvait pas être exigée de la dupe.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Il n'est pas nécessaire qu'elle</w:t>
      </w:r>
    </w:p>
    <w:p>
      <w:r>
        <w:t>- 9 - fasse preuve de la plus grande diligence et qu'elle recoure à toutes les mesures de prudence possibles. L'astuce ne sera exclue que si la dupe est coresponsable du dommage parce qu'elle n'a pas observé les mesures de prudence élémentaires qui s'imposaient (TF 6P. 145/2006 c. 3 et les réf. cit.). c) En l’espèce, les éléments constitutifs de l'escroquerie au sens de l'art. 146 CP ne sont pas réalisés et l’argumentation du procureur est à cet égard convaincante. En effet, les documents envoyés dans le cadre des publipostages contenaient notamment les messages suivants: 1. « Josiane, voici d’ores et déjà la 1ère pièce de l’objet sacré qui va vous offrir la richesse que vous n’espériez plus ! […] Josiane, l’objet singulier va pourtant, dès le 1er jour, vous faire gagner 125 000 € et par la suite vous rendre riche en millions ! Il s’agit de la Boîte à Fortune du Dieu « Piancaishen » ! » (P. 160/5) 2. « BON POUR DECLENCHER AU-TO-MA-TI-QUE-MENT DES MIRACLES DANS LES 48H ET GAGNER 600.000 euros DANS LES JOURS QUI VIENNENT » (dossier joint B, annexe à la P. 4) 3. « BON D’AIDE URGENTE POUR LES QUESTIONS SECRÈTES DE BONHEUR 97 QUE TU TE POSES » (dossier II, P. II/1) En se fondant sur les quelques exemples précités, on ne peut que constater que les affirmations de l’expéditeur sont à ce point aberrantes qu’on ne saurait de toute évidence considérer que même une victime faisant preuve d’esprit critique se laisserait tromper. Si l’on ne peut certes raisonnablement exiger une vérification de la dupe pour des opérations commerciales courantes de faible valeur, tel n’est cependant pas le cas en l’espèce. En effet, le fait de payer une somme, même modeste, pour acheter un « bon à déclencher les miracles » ou la « 1ère</w:t>
      </w:r>
    </w:p>
    <w:p>
      <w:r>
        <w:t>- 10 - pièce de l’objet sacré » n’était pas une opération courante permettant de dispenser les personnes concernées de vérification. Il est vrai que, dans le cas particulier, il n’est pas contesté que le procédé consistait à s’adresser à des personnes en situation de faiblesse. Il n’y a cependant aucun renseignement précis au dossier sur l’état de ces personnes. Quoi qu’il en soit, le prévenu n’a pas fait d’autres démarches auprès des lésés que l’envoi de prospectus. En particulier, il ne ressort pas du dossier que les envois des documents litigieux aient été accompagnés de démarchages téléphoniques, de visites à domicile ou d’autres relances de ce genre. On ne peut donc retenir qu’il y ait eu une véritable exploitation de la situation personnelle des lésés, quand bien même ceux-ci ont été décrits comme faibles, d’autant moins que les informations contenues dans les prospectus étaient particulièrement insensées. Au vu de ce qui précède, l’astuce, élément constitutif de l’infraction de l’escroquerie, fait défaut. Dans ces conditions, un renvoi en jugement du prévenu ne pourrait selon toute vraisemblance qu’aboutir à un acquittement s’agissant de cette infraction. Aucune mesure d’instruction complémentaire ne permettrait de mener à une autre appréciation. Par conséquent, c’est à juste titre que le procureur a classé la procédure pénale dirigée contre X.________ pour escroquerie.</w:t>
      </w:r>
    </w:p>
    <w:p>
      <w:r>
        <w:rPr>
          <w:b/>
        </w:rPr>
        <w:t>E. 5</w:t>
      </w:r>
    </w:p>
    <w:p>
      <w:r>
        <w:t>En définitive, manifestement mal fondé, le recours doit être rejeté dans la mesure où il est recevable, sans autres échanges d’écritures (art. 390 al. 2 CPP), et l'ordonnance attaquée confirmée. Les frais de la procédure de recours, par 1’100 fr. (art. 20 al. 1 TFJP [Tarif des frais judiciaires pénaux du 28 septembre 2010, RSV 312.03.1]), seront mis à la charge des recourantes, qui succombent (art. 428 al. 1 CPP), par moitié chacune et solidairement entre elles (art. 418 al. 1 et 2 CPP).</w:t>
      </w:r>
    </w:p>
    <w:p>
      <w:r>
        <w:t>- 11 - Par ces motifs, la Chambre des recours pénale, statuant à huis clos, prononce : I. Le recours est rejeté dans la mesure où il est recevable. II. L’ordonnance du 29 mai 2013 est confirmée. III. Les frais d’arrêt, par 1'100 fr. (mille cent francs), sont mis à la charge des recourantes par moitié, soit par 550 fr. (cinq cent cinquante francs) chacune, et solidairement entre elles. IV. Le présent arrêt est exécutoire. Le président : La greffière : Du L'arrêt qui précède, dont la rédaction a été approuvée à huis clos, est notifié, par l'envoi d'une copie complète, à : - M. Nicolas Jeandin, avocat (pour Association Z.________ et Association Y.________), - M. Marc Henzelin, avocat (pour X.________), - Secrétariat d’Etat à l’économie, Secteur droit, - UBS SA, département juridique, - Banque Cantonale Genevoise, département juridique, - Ministère public central,</w:t>
      </w:r>
    </w:p>
    <w:p>
      <w:r>
        <w:t>- 12 - et communiqué à : - M. le Procureur du Ministère public central, division entraide, criminalité économique et informatique, - Office des poursuites, service des huissiers, à Genève, - Office cantonal des faillites, à Fribourg, - Office des faillites de Genève, - Office des faillites de l’arrondissement de La Broye et du Nord vaudois, - PCM Prest Center Marketing Sàrl, - Ministère public de la Confédération,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