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PE08.025703 vom 13. Oktober 2011</w:t>
      </w:r>
    </w:p>
    <w:p>
      <w:r>
        <w:t>VD Tribunal cantonal, 2011-10-13, FR</w:t>
      </w:r>
    </w:p>
    <w:p>
      <w:r>
        <w:rPr>
          <w:b/>
        </w:rPr>
        <w:t xml:space="preserve">Quelle: </w:t>
      </w:r>
      <w:r>
        <w:t>https://mcp.opencaselaw.ch/entscheid/vd_gerichte_PE08.025703</w:t>
      </w:r>
    </w:p>
    <w:p>
      <w:r>
        <w:t>FR: VD_GERICHTE PE08.025703 du 13 octobre 2011</w:t>
      </w:r>
    </w:p>
    <w:p>
      <w:r>
        <w:t>IT: VD_GERICHTE PE08.025703 del 13 ottobre 2011</w:t>
      </w:r>
    </w:p>
    <w:p>
      <w:pPr>
        <w:pStyle w:val="Heading2"/>
      </w:pPr>
      <w:r>
        <w:t>Erwägungen</w:t>
      </w:r>
    </w:p>
    <w:p>
      <w:r>
        <w:rPr>
          <w:b/>
        </w:rPr>
        <w:t>E. 3</w:t>
      </w:r>
    </w:p>
    <w:p>
      <w:r>
        <w:t>L’appelante soutient que le comportement qui lui est reproché est constitutif de tentative d’instigation à meurtre, et non de tentative d’instigation à assassinat.</w:t>
      </w:r>
    </w:p>
    <w:p>
      <w:r>
        <w:rPr>
          <w:b/>
        </w:rPr>
        <w:t>E. 3.1</w:t>
      </w:r>
    </w:p>
    <w:p>
      <w:r>
        <w:t>Selon l'art. 112 CP, il y a assassinat si l'auteur a tué avec une absence particulière de scrupules, notamment si son mobile, son but ou sa façon d'agir est particulièrement odieux. Il s'agit d'une forme qualifiée d'homicide intentionnel, qui se distingue du meurtre ordinaire (art. 111 CP)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Les mobiles de l'auteur sont particulièrement odieux lorsqu'il tue pour obtenir une rémunération, pour voler sa victime ou lorsque le mobile apparaît futile, soit lorsqu'il tue pour se venger, sans motif sérieux, ou encore pour une broutille.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Il ne s'agit toutefois là que d'exemples destinés à illustrer la notion; il n'est donc pas nécessaire que l'une de ces hypothèses soit réalisée. On ne saurait cependant conclure à l'existence d'un assassinat dès que l'on distingue, dans un cas d'espèce, l'un ou l'autre élément qui lui confère une gravité particulière; il faut au contraire procéder à une appréciation d'ensemble pour dire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w:t>
      </w:r>
    </w:p>
    <w:p>
      <w:r>
        <w:t>- 22 - démontre un égoïsme primaire et odieux, avec une absence quasi totale de tendances sociales, et qui, dans le but de poursuivre ses propres intérêts, ne tient aucunement compte de la vie d'autrui.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 1a; ATF 120 IV 265 c. 3a; ATF 118 IV 122 c. 2b; ATF 117 IV 369 c. 17 et les références citées). Il n'y a pas d'absence particulière de scrupules, sous réserve de la façon d'agir, lorsque le motif de l'acte est compréhensible et n'est pas d'un égoïsme absolu, notamment lorsqu'il résulte d'une grave situation conflictuelle (ATF 120 IV 265 c. 3a). Une réaction de souffrance fondée sérieusement sur des motifs objectifs imputables à la victime exclut en général la qualification d'assassinat (ATF 118 IV 122 c. 3d). La responsabilité restreinte, l'émotion ou des particularités de caractère n'excluent pas la qualification d'assassinat (arrêt non publié du Tribunal fédéral du 22 décembre 1997 6S.780/1997; Rehberg/Schmid, Strafrecht III, 8ème éd., Zurich 2003, p. 9; Corboz, op. cit., p. 34, n. 22; Basler Kommentar, Strafgesetzbuch II, Christian Schwarzenegger, ad art. 112, p. 43, n. 25).</w:t>
      </w:r>
    </w:p>
    <w:p>
      <w:r>
        <w:rPr>
          <w:b/>
        </w:rPr>
        <w:t>E. 3.2</w:t>
      </w:r>
    </w:p>
    <w:p>
      <w:r>
        <w:t>En l’espèce, le couple connaissait des difficultés conjugales centrées principalement autour de la gestion de l’argent. Les conflits étaient toutefois d’une relative banalité. Ainsi, Il n’y a jamais eu d’échange de coups, mais uniquement des disputes verbales, étant relevé que les insultes étaient réciproques et non pas le fait exclusif de A.F.________. Par</w:t>
      </w:r>
    </w:p>
    <w:p>
      <w:r>
        <w:t>- 23 - ailleurs, l’appelante avait à l’évidence d’autres issues que l’homicide si la poursuite du lien conjugal lui était devenue insupportable. Elle aurait eu notamment la possibilité de quitter le domicile conjugal, ce qu’elle était capable de faire comme elle l’a démontré en 1999, ou de demander la séparation ou le divorce. Elle n’était donc nullement dans une situation désespérée. On ne discerne aucun comportement de A.F.________ susceptible de provoquer une haine homicide. L’appelante a donc voulu tuer une personne dont elle n'avait pas eu à souffrir. S'agissant des mobiles de l'infraction, on doit constater que P.________ a agi sans motif concret, avec lâcheté, à savoir simplement pour se débarrasser de son mari et sans penser à la souffrance que pourraient vivre ses enfants. Ses intentions étaient totalement disproportionnées au regard de la situation au sein du couple. En effet, P.________ aurait aisément pu se séparer de son mari plutôt que de commanditer son assassinat. Ainsi, l’appelante a agi sans motifs sérieux et ceux-ci apparaissent en tout cas comme étant particulièrement futiles. Quant la façon d’agir de l’appelante, on doit relever que celle- ci a démontré une volonté et une constance fermes dans ses projets. Ainsi, les tentatives de dissuasion du passage à l’acte, que ce soit par B.F.________ ou sa mère, n’ont eu aucun effet sur celle-ci. De même, sa volonté n’a pas faibli, malgré les difficultés rencontrées, notamment pour rassembler les 50'000 fr. qui étaient nécessaires à l’exécution de son mari et qu’elle a d’ailleurs pour l’essentiel prélevé sur le compte privé de ce dernier. Pendant près de deux mois, elle a été en tractation avec W.________ tant pour les modalités d’exécution de l’homicide que pour son financement. Elle n’a jamais exprimé l’intention d’abandonner son projet. Au contraire, elle n’a pas hésité à marchander sur le prix. Elle a en outre donné régulièrement des informations pratiques utiles au passage à l’acte. Ainsi, elle a notamment remis à W.________ une photographie de son mari, son adresse privée, la marque et la couleur de son véhicule, ses horaires et lieu de travail. Enfin, sa détermination est également démontrée par le fait qu’elle a demandé à W.________, après le dernier versement et constatant que les hommes de mains n’étaient toujours pas passés à</w:t>
      </w:r>
    </w:p>
    <w:p>
      <w:r>
        <w:t>- 24 - l’acte, de lui procurer un pistolet avec silencieux. Elle a dès lors fait preuve d’une détermination et d’une persévérance extraordinaire dans son activité criminelle. Un tel comportement dénote une grande froideur et une absence totale de scrupules à vouloir anéantir la vie humaine. Par conséquent, au regard des mobiles purement égoïstes et de la façon d'agir extrêmement déterminée de l’appelante, l'acte commis justifie la qualification d'assassinat. Pour le reste, et contrairement à ce que semble penser l’intéressée, le contexte psychologique ou la configuration psychiatrique ne peuvent jouer un rôle qu'au stade de la fixation de la peine, mais non pas au stade de la qualification de l'infraction, qui suppose un jugement objectif sur les circonstances de l'acte. Ce grief, mal fondé, doit être rejeté.</w:t>
      </w:r>
    </w:p>
    <w:p>
      <w:r>
        <w:rPr>
          <w:b/>
        </w:rPr>
        <w:t>E. 4</w:t>
      </w:r>
    </w:p>
    <w:p>
      <w:r>
        <w:t>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consid. 5.6).</w:t>
      </w:r>
    </w:p>
    <w:p>
      <w:r>
        <w:rPr>
          <w:b/>
        </w:rPr>
        <w:t>E. 4.1.1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4.1.2</w:t>
      </w:r>
    </w:p>
    <w:p>
      <w:r>
        <w:t>Aux termes de l'art. 19 al. 2 CP, le juge atténue la peine si, au moment d'agir, l'auteur ne possédait que partiellement la faculté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w:t>
      </w:r>
    </w:p>
    <w:p>
      <w:r>
        <w:t>- 26 -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consid. 5.5 et 5.7).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a CP); la tentation grave (art. 48 let. b</w:t>
      </w:r>
    </w:p>
    <w:p>
      <w:r>
        <w:t>- 27 - CP); l'émotion violente excusable ou le profond désarroi (art. 48 let. c CP). La faute peut aussi être restreinte en cas de délit par omission (art. 11 al.</w:t>
      </w:r>
    </w:p>
    <w:p>
      <w:r>
        <w:rPr>
          <w:b/>
        </w:rPr>
        <w:t>E. 4.1.3</w:t>
      </w:r>
    </w:p>
    <w:p>
      <w:r>
        <w:t>Au terme de l'art. 48 let. d CP le juge atténue la peine si l'auteur a manifesté par des actes un repentir sincère, notamment s'il a réparé le dommage autant qu'on pouvait l'attendre de lui. Il ressort de l'art. 48a CP que le juge qui atténue la peine n'est pas lié par le minimum légal de la peine prévue pour l'infraction (al. 1). Il peut prononcer une peine d'un genre différent de celui qui est prévu pour</w:t>
      </w:r>
    </w:p>
    <w:p>
      <w:r>
        <w:t>- 28 - l'infraction mais il reste lié par le maximum et par le minimum légal de chaque genre de peine (al. 2).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 1 et les références citées; TF 6B_622/2007 consid. 3.2 et 6S.146/1999 consid. 3a).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ATF 116 IV 288 c. 2a).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 2d/cc).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Savoir si le geste du recourant dénote un esprit de repentir ou repose sur des considérations tactiques est une question d'appréciation des faits (ATF 107 IV 98 c. 1).</w:t>
      </w:r>
    </w:p>
    <w:p>
      <w:r>
        <w:rPr>
          <w:b/>
        </w:rPr>
        <w:t>E. 4.2.1</w:t>
      </w:r>
    </w:p>
    <w:p>
      <w:r>
        <w:t>Dans le cas d'espèce, les premiers juges ont considéré que la culpabilité de P.________ était d'une gravité certaine. A charge, ils ont retenu que cette dernière avait agi sans motif concret, avec lâcheté, imputant faussement à son mari le statut de tyran domestique, utilisant l'argent de ce dernier pour rémunérer ses futurs assassins et ne mesurant à aucun moment les conséquences potentielles de son acte pour ses enfants. Ils ont également retenu que sa détermination homicide a duré près de deux mois, qu'elle était vraisemblablement prête à passer à l'acte</w:t>
      </w:r>
    </w:p>
    <w:p>
      <w:r>
        <w:t>- 29 - elle-même, que les infractions étaient en concours et que, s'agissant de l'infraction d'induction de la justice en erreur, P.________ n'avait pas hésité à impliquer mari et enfants, au risque de terroriser ceux-ci à l'évocation de l'extorsion dont elle aurait soi-disant fait l'objet. A décharge, les premiers juges ont tenu compte de la diminution de responsabilité de P.________, de son passé-expédient sur les conclusions civiles de A.F.________ et de ses aveux. Ils ont également retenu qu'il s'agissait d'une tentative, que l'appelante s'était réinsérée dans la vie professionnelle et qu'elle vivait une relation stable avec son ami actuel depuis sa libération (cf. jgt., pp. 60 et 61). Au vu de ce qui précède, force est de constater que les premiers juges ont motivé leur décision de manière suffisante au sens de l'art. 50 CP. Ce grief, mal fondé, doit être rejeté.</w:t>
      </w:r>
    </w:p>
    <w:p>
      <w:r>
        <w:rPr>
          <w:b/>
        </w:rPr>
        <w:t>E. 4.2.2</w:t>
      </w:r>
    </w:p>
    <w:p>
      <w:r>
        <w:t>S'agissant du repentir sincère, l’appelante a certes, dans le cadre de la procédure de divorce, renoncé au partage de la LPP ainsi qu’à toute prétention financière, voulant selon ses dires montrer qu’elle était en tort par rapport à ce qui s’était passé. Sur ce point, il convient de relativiser l'importance de cette renonciation puisque, comme l'a à juste titre relevé le Ministère public aux débats d'appel, l'appelante n'aurait vraisemblablement eu droit à aucune prestation financière de son ex- époux au vu des circonstances du divorce. De même, elle a passé expédient sur les conclusions civiles prises par A.F.________, celui-ci ayant toutefois renoncé à lui réclamer le remboursement de l’argent prélevé sur ses comptes pour la réalisation des projets de P.________. Cette dernière a enfin exprimé ses remords et excuses au cours de la procédure. Ces éléments lui sont évidemment favorables dans le cadre de l’appréciation de la peine. L’appelante ne s’est toutefois pas dénoncée spontanément. Pour dissimuler à sa famille la réalité des motifs des retraits sur le compte de son époux, elle a conçu d’inventer l’existence d’une extorsion, notamment avec menaces à l’encontre de sa famille. Elle s’est ainsi</w:t>
      </w:r>
    </w:p>
    <w:p>
      <w:r>
        <w:t>- 30 - présentée au poste de gendarmerie de [...], décrivant avec passablement de détails les manœuvres d’extorsion de la part d’inconnus. Elle a notamment déclaré faussement avoir reçu un courrier menaçant de sa famille. Elle a également évoqué des menaces verbales directes à l’encontre de son mari et de ses enfants. Elle a même fait part à son mari et ses enfants de ces faits et particulièrement des menaces proférées à leur encontre. P.________ ne s’est pas rétractée spontanément, mais une fois seulement que la police l’a mise face à ses incohérences. Par ailleurs, ses remords et excuses paraissent davantage être de circonstances et peu sincères. En effet, l’appelante persévère – encore aux débats d'appel - à se poser comme une victime, plus particulièrement de W.________, à mentionner qu’elle n’était pas elle-même au moment des faits et à invoquer la crainte que pouvait lui inspirer son époux. En définitive, on doit considérer que le comportement de l’appelante a été favorable, sans toutefois dénoter un sacrifice personnel particulièrement remarquable au sens de l’art. 48 let. d CP. Au demeurant, on peut relever que, dans le cas particulier et dès lors qu’il est tenu compte des éléments précités dans un sens atténuant, le résultat est le même qu’il soit fait application de l’art. 47 CP, comme en l’espèce, ou des art. 48 let d et 48a CP, cette dernière disposition prévoyant une atténuation obligatoire, mais selon la libre appréciation du juge. Ce grief, mal fondé, doit être rejeté.</w:t>
      </w:r>
    </w:p>
    <w:p>
      <w:r>
        <w:rPr>
          <w:b/>
        </w:rPr>
        <w:t>E. 4.2.3</w:t>
      </w:r>
    </w:p>
    <w:p>
      <w:r>
        <w:t>S'agissant enfin de la quotité de la peine prononcée par les premiers juges, il convient de rappeler que l’assassinat est punissable d’une peine privative de liberté à vie ou d’une peine privative de liberté de dix ans au moins. En l’espèce, et au regard de l’ensemble des éléments du dossier, la faute de l’appelante est d’une gravité certaine. La peine de quatre ans de privation de liberté est conforme à sa culpabilité et tient compte de sa situation personnelle. Elle ne relève ni d’un abus ni d’un excès du pouvoir d’appréciation dont jouit l’autorité de première instance,</w:t>
      </w:r>
    </w:p>
    <w:p>
      <w:r>
        <w:t>- 31 - laquelle n’a ignoré aucun des critères déterminants consacrés à l’art. 47 CP (cf. supra consid. 4.1.1). Elle doit donc être confirmée.</w:t>
      </w:r>
    </w:p>
    <w:p>
      <w:r>
        <w:rPr>
          <w:b/>
        </w:rPr>
        <w:t>E. 5</w:t>
      </w:r>
    </w:p>
    <w:p>
      <w:r>
        <w:t>En définitive, l'appel doit être intégralement rejeté et le jugement de première instance confirmé.</w:t>
      </w:r>
    </w:p>
    <w:p>
      <w:r>
        <w:rPr>
          <w:b/>
        </w:rPr>
        <w:t>E. 6</w:t>
      </w:r>
    </w:p>
    <w:p>
      <w:r>
        <w:t>Le conseil de l'appelante a produit une liste d'opérations effectuées en deuxième instance, pour un montant total de 19,70 heures, n'incluant pas le temps consacré à l'audience d'appel. Ce total est trop élevé dans la mesure où les arguments exposés en appel ont déjà été plaidés et examinés en première instance. En conséquence, c'est un montant de 3’137 fr. 40, TVA et débours compris, correspondant à 16 heures de travail, qui doit être alloué à titre d'indemnité au défenseur d'office de P.________ pour la procédure d'appel. Cette dernière ne sera tenue de rembourser à l’Etat ce montant que lorsque sa situation financière le permettra.</w:t>
      </w:r>
    </w:p>
    <w:p>
      <w:r>
        <w:rPr>
          <w:b/>
        </w:rPr>
        <w:t>E. 7</w:t>
      </w:r>
    </w:p>
    <w:p>
      <w:r>
        <w:t>Les frais d'appel comprennent l'émolument, qui se monte à 3'120 fr. (art. 21 al. 1 et 2 TFJP [Tarif des frais judiciaires pénaux du 28 septembre 2010, RSV 312.03.1]), ainsi que l'indemnité allouée au conseil d'office de P.________ (cf. art. 135 al. 2 et 422 al. 2 let. a CPP, art. 2 al. 2 ch. 1 TFJP). Compte tenu de l'issue de la cause, ces frais sont mis à la charge de P.________.</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