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PE08.025483 vom 22. Oktober 2010</w:t>
      </w:r>
    </w:p>
    <w:p>
      <w:r>
        <w:t>VD Tribunal cantonal, 2010-10-22, FR</w:t>
      </w:r>
    </w:p>
    <w:p>
      <w:r>
        <w:rPr>
          <w:b/>
        </w:rPr>
        <w:t xml:space="preserve">Quelle: </w:t>
      </w:r>
      <w:r>
        <w:t>https://mcp.opencaselaw.ch/entscheid/vd_gerichte_PE08.025483</w:t>
      </w:r>
    </w:p>
    <w:p>
      <w:r>
        <w:t>FR: VD_GERICHTE PE08.025483 du 22 octobre 2010</w:t>
      </w:r>
    </w:p>
    <w:p>
      <w:r>
        <w:t>IT: VD_GERICHTE PE08.025483 del 22 ottobre 2010</w:t>
      </w:r>
    </w:p>
    <w:p>
      <w:pPr>
        <w:pStyle w:val="Heading2"/>
      </w:pPr>
      <w:r>
        <w:t>Erwägungen</w:t>
      </w:r>
    </w:p>
    <w:p>
      <w:r>
        <w:rPr>
          <w:b/>
        </w:rPr>
        <w:t>E. 1</w:t>
      </w:r>
    </w:p>
    <w:p>
      <w:r>
        <w:t>ad art. 410 CPP; Heer, in : Niggli/Heer/ Wiprächtiger [éd.], Basler Kommentar, Schweizerische Strafprozessordnung, Jungen- strafprozessordnung, 2e éd., Bâle 2014, n. 7 ad art. 410 CPP). La Cour de céans est donc compétente pour connaître de la présente requête.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w:t>
      </w:r>
    </w:p>
    <w:p>
      <w:r>
        <w:t>- 5 -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Genève/Zurich/Bâle 2011, n. 2092, p. 679; Heer, in : Niggli/Heer/Wiprächtiger [éd.], Basler Kommentar, op. cit., n. 6 ad art. 411 CPP.</w:t>
      </w:r>
    </w:p>
    <w:p>
      <w:r>
        <w:rPr>
          <w:b/>
        </w:rPr>
        <w:t>E. 2.3</w:t>
      </w:r>
    </w:p>
    <w:p>
      <w:r>
        <w:t>En l’espèce, lors de sa première demande de révision, le requérant avait produit une déclaration écrite et signée le 24 novembre 2014 par V.________, lequel attestait ne pas connaître C.________, ne l’avoir jamais vu et n’avoir jamais eu de contact avec ce dernier (P. 254/2/4). Il avait joint à cette déclaration sa traduction en français. A l’appui de la présente requête, le requérant produit notamment une nouvelle déclaration faite le 14 mai 2015 par V.________ dans laquelle celui-ci déclare en présence d’un notaire qu’il n’a jamais vu C.________, qu’il ne le connaît pas et qu’il n’a pas eu de contacts avec lui (P.254/2/5), la traduction en français certifiée conforme de cette déclaration (254/2/6), la traduction de la légalisation de la signature de V.________ du 14 mai 2015 établie le 19 mai 2015 (P. 254/2/7), ainsi que l’acte d’accusation rendu le 5 septembre 2011 par le « Special Prosecution of the Republic of Kosovo » à l’encontre de V.________ (P. 254/2/8). Le requérant fait valoir que le fait qu’il aurait été en contact avec V.________ faisait de lui un personnage-clé du réseau sans qui le trafic n’aurait pas pu se poursuivre et que, dans la</w:t>
      </w:r>
    </w:p>
    <w:p>
      <w:r>
        <w:t>- 6 - mesure où il n’a jamais été en contact avec le prénommé, son rôle dans le trafic de drogue pour lequel il a été condamné serait moins important que ce qui a été retenu par l’arrêt contesté. Les éléments invoqués par le requérant ne peuvent toutefois être considérés comme sérieux, dès lors qu’ils ne sont pas susceptibles d’ébranler les constatations de faits sur lesquelles se fonde la condamnation du requérant. Le seul fait que la nouvelle déclaration signée par V.________ le 14 mai 2015 soit assortie du sceau d’un notaire du Kosovo et d’un « traducteur juré » du canton de Neuchâtel ne suffit pas à la rendre crédible et sérieuse, ni à remettre en cause les faits retenus dans l’arrêt dont la révision est demandée. En effet, V.________ a été mis en accusation pour un trafic de drogue au Kosovo en septembre 2011 ; il ressort de l’acte d’accusation kosovar produit par C.________ que l’intéressé nie toute implication dans ce trafic de drogue et déclare ne connaître aucun protagoniste de l’affaire pour laquelle il est mis en cause si ce n’est son neveu. La déclaration de V.________ et son témoignage ne sauraient dans ces circonstances avoir un quelconque caractère probant, de sorte que l’état de fait retenu dans l’arrêt dont la révision est demandée n’est pas susceptible d’être modifié par la nouvelle déclaration faite le 14 mai 2015 par le prénommé et produite par le requérant. Au vu de ce qui précède, la demande de révision de C.________ est infondée et la réquisition tendant à l’audition, comme témoin, de V.________ doit être rejetée.</w:t>
      </w:r>
    </w:p>
    <w:p>
      <w:r>
        <w:rPr>
          <w:b/>
        </w:rPr>
        <w:t>E. 3</w:t>
      </w:r>
    </w:p>
    <w:p>
      <w:r>
        <w:t>En définitive, la demande de révision présentée par C.________ doit être rejetée. Vu l’issue de la cause, la requête d’assistance judiciaire formée par le requérant doit être rejetée et les frais de révision, par 550 fr. (art. 21 TFIP [Tarif des frais de procédure et indemnités en matière pénale du 28 septembre 2010 ; RSV 312.03.1], par renvoi de l'art. 22 de cette loi), mis à la charge de C.________.</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