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PE08.024777 vom 16. November 2010</w:t>
      </w:r>
    </w:p>
    <w:p>
      <w:r>
        <w:t>VD Tribunal cantonal, 2010-11-16, FR</w:t>
      </w:r>
    </w:p>
    <w:p>
      <w:r>
        <w:rPr>
          <w:b/>
        </w:rPr>
        <w:t xml:space="preserve">Quelle: </w:t>
      </w:r>
      <w:r>
        <w:t>https://mcp.opencaselaw.ch/entscheid/vd_gerichte_PE08.024777</w:t>
      </w:r>
    </w:p>
    <w:p>
      <w:r>
        <w:t>FR: VD_GERICHTE PE08.024777 du 16 novembre 2010</w:t>
      </w:r>
    </w:p>
    <w:p>
      <w:r>
        <w:t>IT: VD_GERICHTE PE08.024777 del 16 novembre 2010</w:t>
      </w:r>
    </w:p>
    <w:p>
      <w:pPr>
        <w:pStyle w:val="Heading2"/>
      </w:pPr>
      <w:r>
        <w:t>Erwägungen</w:t>
      </w:r>
    </w:p>
    <w:p>
      <w:r>
        <w:rPr>
          <w:b/>
        </w:rPr>
        <w:t>E. 4</w:t>
      </w:r>
    </w:p>
    <w:p>
      <w:r>
        <w:t>Il reste à examiner la peine à infliger au prévenu.</w:t>
      </w:r>
    </w:p>
    <w:p>
      <w:r>
        <w:rPr>
          <w:b/>
        </w:rPr>
        <w:t>E. 4.1</w:t>
      </w:r>
    </w:p>
    <w:p>
      <w:r>
        <w:t>Selon l'art. 47 CP, le juge fixe la peine d'après la culpabilité de l'auteur. Il prend en considération les antécédents et la situation</w:t>
      </w:r>
    </w:p>
    <w:p>
      <w:r>
        <w:t>- 19 -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w:t>
      </w:r>
    </w:p>
    <w:p>
      <w:r>
        <w:t>En l'espèce, la culpabilité de B.________ est lourde. Il a agi pour satisfaire ses pulsions sexuelles au mépris de la liberté sexuelle de F.________, qu'il a prise par surprise en plein milieu de la nuit. Fort de la</w:t>
      </w:r>
    </w:p>
    <w:p>
      <w:r>
        <w:t>- 20 - description que son ami A.________ lui avait faite de la prénommée, considérée comme "une fille facile", le prévenu a admis que sa seule idée était de coucher avec elle. Or, il pouvait imaginer qu'au vu de l'état d'endormissement et d'alcoolisation dans lequel se trouvait la victime, qui était nue sur son lit, celle-ci se soumettrait à l'acte sexuel, n'aurait que des souvenirs diffus ou encore renoncerait à porter plainte. S'il a admis avoir eu une relation sexuelle avec la plaignante, l'intimé, qui n'a pas daigné se présenter aux deux audiences fixées par les premiers juges ni aux débats d'appel, a en revanche persisté à affirmer que celle-ci était consentante. Lors de son audition par la police, il n'a pas hésité à déclarer que c'est la jeune femme qui l'avait abordé et lui avait jeté des regards dans le courant de la soirée, laissant ainsi entendre qu'elle lui avait fait des avances, ce qui n'est au demeurant pas établi, comme on l'a vu ci- dessus. A cela s'ajoute que si B.________ a affirmé, dans un premier temps, avoir agi stupidement (PV aud. 1, p. 4), aucun regret sincère pour ce qu'il a fait n'est toutefois perceptible à la lecture de ses déclarations, l'intéressé n'ayant jamais présenté la moindre excuse à sa victime. Au contraire, il est allé jusqu'à objecter que si celle-ci "avait refusé ou [lui] avait fait comprendre qu'elle n'avait pas envie, [il] n'aurait pas insisté" (PV aud. 4, p. 2), qu'il avait "toujours respecté les femmes" et qu'il avait "reçu une bonne éducation" (PV aud. 1, p. 4); c'est dire si l'absence de prise de conscience de l'intimé, qui semble plus préoccupé par l'accusation portée contre lui et par sa réputation que par les conséquences de ses actes sur la plaignante, est évidente. D'autre part, il convient de prendre en considération l'état d'alcoolisation de B.________ au moment des faits, tout en précisant que sa responsabilité est pleine et entière. On tiendra également compte du fait que le prénommé était âgé de 19 ans à l'époque. Au bénéfice d'une formation universitaire, il n'a pas d'antécédents, de sorte qu'on peut espérer que cette infraction restera isolée. En ce sens, une peine assortie du sursis est possible.</w:t>
      </w:r>
    </w:p>
    <w:p>
      <w:r>
        <w:t>- 21 - Au vu des circonstances et des éléments ci-dessus, une peine privative de liberté de 14 mois est adéquate pour réprimer le comportement du prévenu.</w:t>
      </w:r>
    </w:p>
    <w:p>
      <w:r>
        <w:rPr>
          <w:b/>
        </w:rPr>
        <w:t>E. 5</w:t>
      </w:r>
    </w:p>
    <w:p>
      <w:r>
        <w:t>L’appelante réclame des indemnités de 3'866 fr. 40 à titre de dommages et intérêts et de 5'000 fr. à titre de tort moral. Dans son appel joint, le prévenu demande à être libéré de toutes les conclusions prises à son encontre par F.________.</w:t>
      </w:r>
    </w:p>
    <w:p>
      <w:r>
        <w:rPr>
          <w:b/>
        </w:rPr>
        <w:t>E. 5.1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41 al. 1 CO (Loi fédérale du 30 mars 1911 complétant le code civil suisse, RS 220), celui qui cause, d’une manière illicite, un dommage à autrui, soit intentionnellement, soit par négligence ou imprudence, est tenu de le réparer. A teneur de l'art. 49 CO, celui qui subit une atteinte illicite à sa personnalité a droit à une somme d'argent à titre de réparation morale, pour autant que la gravité de l'atteinte le justifie et que l'auteur ne lui ait pas donné satisfaction autrement. Il est aujourd'hui admis que la réparation du tort moral n'a pas de fonction pénale et qu'elle n'est pas une peine privée; il est possible et courant dans la réalité qu'elle soit payée non par l'auteur de l'atteinte mais par un tiers, notamment une assurance (Roland Brehm, Commentaire bernois, vol. VI/1, 3ème éd. 2006, n. 18 ad art. 49 CO, n. 40 ad art. 47 CO; Pierre Tercier, La réparation du tort moral: crise ou évolution?, in: Mélanges Henri Deschenaux, Fribourg 1977, p. 314</w:t>
      </w:r>
    </w:p>
    <w:p>
      <w:r>
        <w:t>- 22 - ss). Le lésé ne peut donc pas exiger que l'indemnité soit payée par l'auteur en personne (art. 68 CO; ATF 123 III 161 c. 4c p. 164).</w:t>
      </w:r>
    </w:p>
    <w:p>
      <w:r>
        <w:rPr>
          <w:b/>
        </w:rPr>
        <w:t>E. 5.2</w:t>
      </w:r>
    </w:p>
    <w:p>
      <w:r>
        <w:t>En l’espèce, F.________ réclame 3'866 fr. 40 à titre de dommages et intérêts. Au dossier, figure une facture du Dr [...] pour les consultations de l’appelante auprès de [...], psychologue, allant du 26 novembre 2008 au 1er juin 2009 pour un montant de 3'250 fr. 80 (annexe à la pièce 59). L'appelante a également allégué des frais de transports pour un montant de 615 fr. 60 pour se rendre à ses rendez-vous. Il apparaît ainsi, au vu des éléments clairement établis par pièce, que les conditions requises pour statuer sur les conclusions civiles de F.________, soit la déclaration de culpabilité de l'auteur et la preuve du préjudice subi, sont réunies. Par conséquent, il convient de lui allouer un montant total de 3'866 fr. 40 à titre de dommages et intérêts. Au regard de l’infraction subie par l'appelante et du traitement psychothérapeutique suivi, il ne fait aucun doute que les événements du 9 novembre 2008 ont provoqué chez elle une atteinte psychique entraînant réparation. On peut ainsi allouer à la plaignante le montant requis de 5'000 fr., celui-ci n’étant aucunement exagéré.</w:t>
      </w:r>
    </w:p>
    <w:p>
      <w:r>
        <w:rPr>
          <w:b/>
        </w:rPr>
        <w:t>E. 6</w:t>
      </w:r>
    </w:p>
    <w:p>
      <w:r>
        <w:t>En conclusion, l'appel de F.________ est admis et le jugement attaqué modifié dans le sens des considérants qui précèdent. L'appel joint est rejeté.</w:t>
      </w:r>
    </w:p>
    <w:p>
      <w:r>
        <w:rPr>
          <w:b/>
        </w:rPr>
        <w:t>E. 6.1</w:t>
      </w:r>
    </w:p>
    <w:p>
      <w:r>
        <w:t>Vu l'issue de la cause, l'entier des frais de première instance, y compris les indemnités allouées par les premiers juges à son défenseur d'office et au conseil d'office de la plaignante, par 302 fr. 40 chacun, doivent être mis à la charge de B.________ (art. 426 al. 1, 1ère phrase, CPP).</w:t>
      </w:r>
    </w:p>
    <w:p>
      <w:r>
        <w:rPr>
          <w:b/>
        </w:rPr>
        <w:t>E. 6.2</w:t>
      </w:r>
    </w:p>
    <w:p>
      <w:r>
        <w:t>Il en ira de même des frais d'appel (art. 428 al. 1 CPP). Ces frais comprennent l’indemnité allouée au défenseur d’office de B.________, par 1'026 fr., TVA et débours compris, ainsi que l'indemnité allouée au</w:t>
      </w:r>
    </w:p>
    <w:p>
      <w:r>
        <w:t>- 23 - conseil d'office de F.________, par 1'501 fr. 20, TVA et débours compris, cette dernière indemnité correspondant à 12 heures (au tarif horaire de 110 fr. en usage pour les avocats-stagiaires).</w:t>
      </w:r>
    </w:p>
    <w:p>
      <w:r>
        <w:rPr>
          <w:b/>
        </w:rPr>
        <w:t>E. 6.3</w:t>
      </w:r>
    </w:p>
    <w:p>
      <w:r>
        <w:t>Le prévenu ne sera tenu de rembourser à l’Etat le montant des indemnités en faveur de son défenseur d'office et du conseil d’office de la partie plaignante prévues ci-dessus que lorsque sa situation financière le permettra (art. 135 al. 4 let. a et 426 al. 4 CPP).</w:t>
      </w:r>
    </w:p>
    <w:p>
      <w:r>
        <w:rPr>
          <w:b/>
        </w:rPr>
        <w:t>E. 6.4</w:t>
      </w:r>
    </w:p>
    <w:p>
      <w:r>
        <w:t>L'appelante requiert une indemnité à titre de dépens (art. 433 CPP). Cette requête est sans objet dans la mesure où une indemnité de conseil d'office pour la procédure d'appel à la charge de l'intimé est allouée à Me Laure Chappaz.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