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PE08.022428 vom 18. September 2013</w:t>
      </w:r>
    </w:p>
    <w:p>
      <w:r>
        <w:t>VD Tribunal cantonal, 2013-09-18, FR</w:t>
      </w:r>
    </w:p>
    <w:p>
      <w:r>
        <w:rPr>
          <w:b/>
        </w:rPr>
        <w:t xml:space="preserve">Quelle: </w:t>
      </w:r>
      <w:r>
        <w:t>https://mcp.opencaselaw.ch/entscheid/vd_gerichte_PE08.022428</w:t>
      </w:r>
    </w:p>
    <w:p>
      <w:r>
        <w:t>FR: VD_GERICHTE PE08.022428 du 18 septembre 2013</w:t>
      </w:r>
    </w:p>
    <w:p>
      <w:r>
        <w:t>IT: VD_GERICHTE PE08.022428 del 18 settembre 2013</w:t>
      </w:r>
    </w:p>
    <w:p>
      <w:pPr>
        <w:pStyle w:val="Heading2"/>
      </w:pPr>
      <w:r>
        <w:t>Erwägungen</w:t>
      </w:r>
    </w:p>
    <w:p>
      <w:r>
        <w:rPr>
          <w:b/>
        </w:rPr>
        <w:t>E. 7</w:t>
      </w:r>
    </w:p>
    <w:p>
      <w:r>
        <w:t>En définitive, l'appel de S.________ doit être rejeté et celui du Ministère public partiellement admis dans le sens des considérants.</w:t>
      </w:r>
    </w:p>
    <w:p>
      <w:r>
        <w:rPr>
          <w:b/>
        </w:rPr>
        <w:t>E. 8</w:t>
      </w:r>
    </w:p>
    <w:p>
      <w:r>
        <w:t>Compte tenu de l'ampleur de la procédure et de la connaissance du dossier déjà acquise en première instance, une indemnité de défenseur d'office pour la procédure d'appel d'un montant de 3'538 fr. 60, débours et TVA inclus, est allouée à Me Claire Charton. Cela correspond à 18 heures à 180 fr., plus 36 fr. 50 de débours et 8 % de TVA. Vu le sort des appels, les frais de seconde instance, y compris l'indemnité allouée au défenseur d'office ci-dessus, sont mis à la charge de S.________ (art. 428 al. 1 CPP). S.________ ne sera tenu de rembourser à l'Etat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