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PE08.019624 vom 27. Februar 2012</w:t>
      </w:r>
    </w:p>
    <w:p>
      <w:r>
        <w:t>VD Tribunal cantonal, 2012-02-27, FR</w:t>
      </w:r>
    </w:p>
    <w:p>
      <w:r>
        <w:rPr>
          <w:b/>
        </w:rPr>
        <w:t xml:space="preserve">Quelle: </w:t>
      </w:r>
      <w:r>
        <w:t>https://mcp.opencaselaw.ch/entscheid/vd_gerichte_PE08.019624</w:t>
      </w:r>
    </w:p>
    <w:p>
      <w:r>
        <w:t>FR: VD_GERICHTE PE08.019624 du 27 février 2012</w:t>
      </w:r>
    </w:p>
    <w:p>
      <w:r>
        <w:t>IT: VD_GERICHTE PE08.019624 del 27 febbraio 2012</w:t>
      </w:r>
    </w:p>
    <w:p>
      <w:pPr>
        <w:pStyle w:val="Heading2"/>
      </w:pPr>
      <w:r>
        <w:t>Erwägungen</w:t>
      </w:r>
    </w:p>
    <w:p>
      <w:r>
        <w:rPr>
          <w:b/>
        </w:rPr>
        <w:t>E. 7</w:t>
      </w:r>
    </w:p>
    <w:p>
      <w:r>
        <w:t>Compte tenu de l'abandon de deux chefs d'inculpation initialement retenus à l'encontre de A.C.________, il convient de fixer la peine en conséquence.</w:t>
      </w:r>
    </w:p>
    <w:p>
      <w:r>
        <w:t>- 20 - 7.1.1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7.1.2 L'art. 41 CP prévoit que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(al. 1). Le juge doit motiver le choix de la courte peine privative de liberté ferme de manière circonstanciée (al. 2).</w:t>
      </w:r>
    </w:p>
    <w:p>
      <w:r>
        <w:t>- 21 - Ainsi, pour pouvoir prononcer une peine privative de liberté de moins de six mois, trois conditions cumulatives doivent être remplies. Il faut premièrement que les conditions de l'art. 42 CP concernant le sursis à l'exécution de la peine ne soient pas réunies. Il faut deuxièmement, respectivement troisièmement, qu'il y ait lieu d'admettre que la peine pécuniaire ainsi que la peine de travail d'intérêt général ne peuvent pas être exécutées par le condamné. Si une seule des trois conditions au prononcé d'une peine de moins de 6 mois en vertu de l'art. 41 CP n'est pas réalisée, une telle peine ne peut pas être prononcée (CCASS, 28 juin 2010 n° 256 c. 2). 7.1.3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c.4.4.2; TF 6B_541/2007 du 13 mai 2008, c.2.2 et la jurisprudence citée).</w:t>
      </w:r>
    </w:p>
    <w:p>
      <w:r>
        <w:t>- 22 -</w:t>
      </w:r>
    </w:p>
    <w:p>
      <w:r>
        <w:rPr>
          <w:b/>
        </w:rPr>
        <w:t>E. 7.2</w:t>
      </w:r>
    </w:p>
    <w:p>
      <w:r>
        <w:t>En l'occurrence, A.C.________ s'est rendu coupable de faux dans les titres et de filouterie d'auberge. A charge, il convient de retenir ses antécédents, pour des infractions du même genre que celles jugées ici, à savoir obtenir par des procédés fallacieux des prestations auxquelles il n'a pas droit. On retiendra également ses dénégations constantes, l'appelant affirmant qu'il n'est pas l'auteur des actes qui lui sont reprochés, tout en se reconnaissant débiteur des sommes et en ne payant rien au plaignant D.________. A.C.________ a fait défaut le 17 octobre 2011 mais également en cours d'enquête (PV des opérations, p. 3), démontrant ainsi sa volonté d'échapper à ses obligations, ainsi qu'une absence de prise de conscience de la gravité de son comportement. A décharge, on retiendra que l'appelant a signé une reconnaissance de dette en faveur de D.________. Considérant l'ensemble de ces éléments, une peine privative de liberté de 4 mois est adéquate au regard des infractions commises, de la culpabilité de l’appelant et de sa situation personnelle. Compte tenu de ses précédentes condamnations à des peines privatives de liberté, pour des délits similaires à ceux jugés dans la présente cause, qui n'ont pas empêché l'appelant de commettre les infractions objet de la présente cause, seul un pronostic défavorable peut être posé. La première condition de l'art. 41 al. 1 CP est dès lors réalisée. Au surplus, une peine pécuniaire et un travail d'intérêt général doivent être exclus pour des motifs de prévention spéciale. Tout d'abord, l'appelant, s'il a indiqué avoir gardé un domicile à Vernier, a expliqué vivre actuellement à Belgrade, être sans emploi depuis juillet 2008 et subvenir à ses besoins grâce à la rente AVS que son père reçoit. Ces éléments permettent d'exclure une peine de travail d'intérêt général ou une peine pécuniaire. Au surplus, l'appelant n'a pas hésité à utiliser des procédés</w:t>
      </w:r>
    </w:p>
    <w:p>
      <w:r>
        <w:t>- 23 - fallacieux pour obtenir des prestations auxquelles il n'avait pas droit, nonobstant deux condamnations assorties du sursis prononcées en 2003 et en 2005. Il doit par conséquent réaliser que ses récidives sont sanctionnées par des peines privatives de liberté fermes. Partant, les conditions de l'octroi du sursis ne sont pas réalisées.</w:t>
      </w:r>
    </w:p>
    <w:p>
      <w:r>
        <w:rPr>
          <w:b/>
        </w:rPr>
        <w:t>E. 8</w:t>
      </w:r>
    </w:p>
    <w:p>
      <w:r>
        <w:t>juin 2005 était assortie d'un délai d'épreuve de trois ans, arrivant à échéance le 8 juin 2008. Or, les faits de la présente cause ont été jugés le 27 février 2012, soit plus de trois ans après l'échéance de ce délai d'épreuve, de sorte qu'il n'est pas possible ni de le révoquer, ni de prolonger la durée du délai d'épreuve (art. 46 al. 5 CP). L'appel doit être admis sur ce point.</w:t>
      </w:r>
    </w:p>
    <w:p>
      <w:r>
        <w:rPr>
          <w:b/>
        </w:rPr>
        <w:t>E. 8.1</w:t>
      </w:r>
    </w:p>
    <w:p>
      <w:r>
        <w:t>En vertu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révocation ne peut plus être ordonnée lorsque trois ans se sont écoulés depuis l'expiration du délai d'épreuve (al. 5).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w:t>
      </w:r>
    </w:p>
    <w:p>
      <w:r>
        <w:t>- 24 - d'une peine, à la suite de la révocation d'un sursis accordé précédemment (ATF 134 IV 140 c. 4.5).</w:t>
      </w:r>
    </w:p>
    <w:p>
      <w:r>
        <w:rPr>
          <w:b/>
        </w:rPr>
        <w:t>E. 8.2</w:t>
      </w:r>
    </w:p>
    <w:p>
      <w:r>
        <w:t>En l'espèce, la Cour d'appel pénale considère que l'exécution de la peine privative de liberté ferme prononcée est de nature à avoir un effet dissuasif suffisant, justifiant ainsi de renoncer à la révocation du sursis antérieur (TF 6B_855/2010 du 7 avril 2011 c. 2.4). Au surplus, la peine prononcée le</w:t>
      </w:r>
    </w:p>
    <w:p>
      <w:r>
        <w:rPr>
          <w:b/>
        </w:rPr>
        <w:t>E. 9</w:t>
      </w:r>
    </w:p>
    <w:p>
      <w:r>
        <w:t>En définitive, l'appel de A.C.________ est partiellement admis. Le jugement rendu par le Tribunal de police de l'arrondissement de Lausanne est modifié en ce sens que l'appelant est libéré des accusations d'escroquerie et d'extorsion, la peine prononcée étant réduite de huit à quatre mois de privation de liberté. Il est au surplus renoncé à la révocation du sursis accordé le 8 juin 2005.</w:t>
      </w:r>
    </w:p>
    <w:p>
      <w:r>
        <w:rPr>
          <w:b/>
        </w:rPr>
        <w:t>E. 10</w:t>
      </w:r>
    </w:p>
    <w:p>
      <w:r>
        <w:t>Compte tenu notamment du temps consacré, de la relative importance de l'affaire et du résultat obtenu, une indemnité de défense d’office pour la procédure d'appel d'un montant de 2'570 fr. est allouée à Me Valérie Mérinat. Les frais d'appel, par 5'030 fr., y compris l'indemnité allouée au défenseur d'office, sont mis par moitié à la charge de A.C.________, par 2'515 fr., le solde étant laissé à la charge de l’Etat (art. 428 al. 1 CPP).</w:t>
      </w:r>
    </w:p>
    <w:p>
      <w:r>
        <w:t>- 25 - A.C.________ ne sera tenu de rembourser à l’Etat la moitié du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