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PE08.011006 vom 7. September 2011</w:t>
      </w:r>
    </w:p>
    <w:p>
      <w:r>
        <w:t>VD Tribunal cantonal, 2011-09-07, FR</w:t>
      </w:r>
    </w:p>
    <w:p>
      <w:r>
        <w:rPr>
          <w:b/>
        </w:rPr>
        <w:t xml:space="preserve">Quelle: </w:t>
      </w:r>
      <w:r>
        <w:t>https://mcp.opencaselaw.ch/entscheid/vd_gerichte_PE08.011006</w:t>
      </w:r>
    </w:p>
    <w:p>
      <w:r>
        <w:t>FR: VD_GERICHTE PE08.011006 du 7 septembre 2011</w:t>
      </w:r>
    </w:p>
    <w:p>
      <w:r>
        <w:t>IT: VD_GERICHTE PE08.011006 del 7 settembre 2011</w:t>
      </w:r>
    </w:p>
    <w:p>
      <w:pPr>
        <w:pStyle w:val="Heading2"/>
      </w:pPr>
      <w:r>
        <w:t>Erwägungen</w:t>
      </w:r>
    </w:p>
    <w:p>
      <w:r>
        <w:rPr>
          <w:b/>
        </w:rPr>
        <w:t>E. 4</w:t>
      </w:r>
    </w:p>
    <w:p>
      <w:r>
        <w:t>P.________ soulève encore une série de moyens tendant à établir qu'elle a cru de bonne foi que Q.________ avait un permis de travail. Or, dans la mesure où, comme on vient de le voir, il est établi que la jeune femme a, au cours de son entretien d'embauche, informé l'appelante qu'elle n'était titulaire d'aucun permis de séjour, tous ces griefs sont mal fondés. Pour le surplus, ils doivent être rejetés pour les raisons qui suivent.</w:t>
      </w:r>
    </w:p>
    <w:p>
      <w:r>
        <w:rPr>
          <w:b/>
        </w:rPr>
        <w:t>E. 4.1</w:t>
      </w:r>
    </w:p>
    <w:p>
      <w:r>
        <w:t>Comme premier moyen, la prévenue fait valoir que c'est son fils [...] qui s'occupait de ses affaires à l'époque des faits. Or, il ressort de l'audition de ce dernier du 24 novembre 2009 (PV aud. 6) ainsi que de la pièce 22/1 (p. 2) qu'il s'en occupe depuis mars 2008 seulement – soit postérieurement à l'engagement de Q.________ – et non depuis mars 1988 comme l'a retenu à tort le tribunal, auquel cas on comprend mal pourquoi il n'aurait pas assisté à l'entretien ou rédigé lui-même le contrat (pièce 8/1). A cela s'ajoute que le prénommé n'a pas prétendu être l'employeur de la jeune femme. Sur ce point, il suffit de constater que toutes les démarches ont été faites par l'appelante et que c'est elle qui a signé la convention en février 2009 mettant fin au litige civil l'opposant à la plaignante après que celle-ci eut saisi le Tribunal des Prud'hommes pour obtenir le paiement du salaire du mois de mai 2008 (pièce 23/2).</w:t>
      </w:r>
    </w:p>
    <w:p>
      <w:r>
        <w:rPr>
          <w:b/>
        </w:rPr>
        <w:t>E. 4.2</w:t>
      </w:r>
    </w:p>
    <w:p>
      <w:r>
        <w:t>Dans un deuxième moyen, P.________ se réfère aux déclarations de G.________ (PV aud. 7), employée au Service social de Prilly, pour soutenir qu'elle a demandé en vain à plusieurs reprises à Q.________ son permis de séjour, ce qui démontrerait qu'elle croyait de bonne foi que cette dernière était titulaire d'un tel permis. Outre le fait que ledit témoin fait référence à une déclaration que la prévenue lui a faite à "fin 2008" (PV aud. 7, p. 1 in fine), soit une année – et non quelques jours (appel, p. 4 in initio) – après l'engagement de la jeune femme, ce</w:t>
      </w:r>
    </w:p>
    <w:p>
      <w:r>
        <w:t>- 16 - témoignage a trait à des propos tenus après que l'appelante s'est retrouvée elle-même prévenue d'infraction à la LEtr. Cette dernière se fonde ensuite sur l'affirmation dudit témoin selon laquelle la prévenue "a voulu procéder de manière régulière en ce qui concerne l''annonce' de l'emploi de Mme Q.________ puisqu'elle a pris contact avec [lesdits] services et a fait nécessaire pour ouvrir un dossier". Cependant, on ne saurait rien tirer de cette déclaration. La prévenue semble en effet oublier que ce n'est pas elle qui payait son employée, mais la caisse de compensation et que pour obtenir les prestations complémentaires lui donnant droit à 80 heures de ménage par mois, elle devait collaborer avec les services sociaux de Prilly. Sur ce point, on remarquera que la volonté de la prévenue d'être en règle doit être nuancée, dans la mesure où elle a reçu plusieurs rappels de la caisse AVS pour son affiliation en tant qu'employeur (cf. pièces 22/5, 22/6 et 22/7). A cela s'ajoute que les seuls documents nécessaires à "l'annonce" de Q.________ auprès des services sociaux étaient un certificat AVS de la jeune femme ainsi qu'un certificat de l'assurance-accident et une attestation LPP de P.________ (pièces 22/2, 22/4 et 22/7). Contrairement à ce qu'affirme cette dernière (pièce 22/1), qui se fonde sur un document manuscrit non daté et non signé (pièce 22/3), la production du permis de séjour n'était pas requise, G.________, dont il n'y a pas lieu de remettre en cause les compétences, ayant d'ailleurs clairement expliqué qu'aucun contrôle quant au statut de séjour en Suisse de l'employé n'est effectué dans ce genre de cas.</w:t>
      </w:r>
    </w:p>
    <w:p>
      <w:r>
        <w:rPr>
          <w:b/>
        </w:rPr>
        <w:t>E. 4.3</w:t>
      </w:r>
    </w:p>
    <w:p>
      <w:r>
        <w:t>P.________ soutient ensuite que dans la mesure où le salaire était versé par la Caisse cantonale vaudoise de compensation, elle pouvait penser de bonne foi que celle-ci avait procédé aux contrôles adéquats. C'est oublier que la prévenue a répondu à une annonce et qu'elle a souhaité engager elle-même une employée, comme G.________ l'a également relevé lors de son audition (PV aud. 7). D'ailleurs, comme on vient de le voir, l'appelante n'a pas fourni en temps utile les renseignements requis par les services sociaux et par la caisse AVS, qui auraient été bien en peine, dans ces conditions, de faire les vérifications nécessaires.</w:t>
      </w:r>
    </w:p>
    <w:p>
      <w:r>
        <w:t>- 17 -</w:t>
      </w:r>
    </w:p>
    <w:p>
      <w:r>
        <w:rPr>
          <w:b/>
        </w:rPr>
        <w:t>E. 4.4</w:t>
      </w:r>
    </w:p>
    <w:p>
      <w:r>
        <w:t>La prévenue indique encore que la durée du contrat de travail de 5 mois était trop courte pour lui laisser le temps de régulariser son employée (sous-entendu : en déclarant son emploi – PV aud. 6), d'autant plus que celle-ci a systématiquement trouvé des excuses pour ne pas produire son permis de séjour. On ne saurait suivre ce raisonnement. Certes, Q.________ a admis que l'appelante ou son fils lui avait demandé son permis (PV aud. 8, p. 2); toutefois, comme on l'a relevé ci-dessus, aucun permis de séjour n'était requis des services sociaux pour que la prévenue puisse affilier sa femme de ménage à la Caisse cantonale vaudoise de compensation AVS (PV aud. 7). Il n'est au surplus pas reproché à P.________ de n'avoir pas fait les démarches nécessaires pour que sa femme de ménage soit annoncée aux services compétents, mais de l'avoir engagée et fait travailler pendant 5 mois alors qu'elle n'avait pas de permis.</w:t>
      </w:r>
    </w:p>
    <w:p>
      <w:r>
        <w:rPr>
          <w:b/>
        </w:rPr>
        <w:t>E. 4.5</w:t>
      </w:r>
    </w:p>
    <w:p>
      <w:r>
        <w:t>L'appelante fait enfin valoir que Q.________ était au bénéfice d'un numéro AVS, ce qui signifiait pour elle qu'elle était autorisée à travailler en Suisse. Cet argument tombe à faux, dans la mesure où le statut au regard du droit des étrangers n'est pas lié au numéro AVS, celui- ci étant en effet attribué, selon l'art. 50c al. 1 LAVS (Loi fédérale sur l'assurance-vieillesse et survivants du 20 décembre 1946, RS 831.10), lorsqu'une personne est domiciliée en Suisse ou y a sa résidence habituelle (let. a) ou lorsqu'elle réside à l'étranger et s'acquitte de cotisations, ou bien perçoit des prestations ou en demande (let. b). Quoi qu'il en soit, il appartenait à la prévenue de se renseigner et de s'assurer que ses obligations d'employeur étaient respectées. On observera encore sur ce point qu'à l'entretien d'embauche, Q.________ a présenté non seulement sa carte AVS, mais également son passeport équatorien (PV aud. 8, p. 2; PV aud. 9, p. 1) – ce qui n'est pas contesté. Or, il ressort des déclarations de la jeune femme (PV aud. 1, p. 2) et du rapport de police du 10 juillet 2008 (pièce 9/1, p. 6) que ce passeport était échu depuis octobre 2006. Dans ces conditions, la prévenue pouvait bien se douter que la jeune femme n'était pas autorisée à travailler en Suisse et il lui incombait de s'informer si les documents produits par cette dernière répondaient aux exigences de la loi. Dans ces circonstances, la seule méconnaissance de la</w:t>
      </w:r>
    </w:p>
    <w:p>
      <w:r>
        <w:t>- 18 - loi ne suffit pas à admettre que l'appelante a agi par négligence, les prétendues "subtilités de la loi" (PV aud. 6, p. 2) ne l'ayant d'ailleurs pas empêchée, malgré son grand âge, de se renseigner auprès des services sociaux compétents et d'entreprendre toutes les démarches nécessaires afin d'annoncer son employée.</w:t>
      </w:r>
    </w:p>
    <w:p>
      <w:r>
        <w:rPr>
          <w:b/>
        </w:rPr>
        <w:t>E. 4.6</w:t>
      </w:r>
    </w:p>
    <w:p>
      <w:r>
        <w:t>En définitive, mal fondés, tous les griefs soulevés par P.________ doivent être rejetés. C'est donc à juste titre que le tribunal a retenu que la prénommée avait agi avec conscience et volonté et qu'elle a été reconnue coupable d'infraction à la LEtr au sens de l'art. 117 al. 1 de cette loi.</w:t>
      </w:r>
    </w:p>
    <w:p>
      <w:r>
        <w:rPr>
          <w:b/>
        </w:rPr>
        <w:t>E. 5</w:t>
      </w:r>
    </w:p>
    <w:p>
      <w:r>
        <w:t>L'appelante ne discute pas la peine, dès lors qu'elle conclut à son acquittement. Il suffit de constater, sur ce point, que ni le choix du genre de peine, ni l'appréciation de la quotité de la peine par le premier juge ne sont critiquables, de sorte que tant la peine pécuniaire de dix jours- amende que le montant du jour-amende, fixé à 30 fr., peuvent être confirmés. Le tribunal était dès lors parfaitement fondé à mettre les frais de la cause, non contestés, à la charge de la prévenue (art. 426 al. 1 CPP).</w:t>
      </w:r>
    </w:p>
    <w:p>
      <w:r>
        <w:rPr>
          <w:b/>
        </w:rPr>
        <w:t>E. 6</w:t>
      </w:r>
    </w:p>
    <w:p>
      <w:r>
        <w:t>En conclusion, l'appel doit être rejeté et le jugement attaqué intégralement confirmé, étant toutefois précisé que dans la mesure où les faits tombant sous le coup de l'art. 23 aLSEE sont prescrits (ch. 3.1 supra), ceux finalement retenus à l'encontre de P.________ s'étendent du 1er janvier au 17 mai 2008 et non du 10 décembre 2007 au 17 mai 2008 comme cela figure sur la page de garde du jugement attaqué.</w:t>
      </w:r>
    </w:p>
    <w:p>
      <w:r>
        <w:t>- 19 -</w:t>
      </w:r>
    </w:p>
    <w:p>
      <w:r>
        <w:rPr>
          <w:b/>
        </w:rPr>
        <w:t>E. 6.1</w:t>
      </w:r>
    </w:p>
    <w:p>
      <w:r>
        <w:t>Vu l'issue de la cause, les frais d'appel doivent être mis à la charge de P.________ (art. 428 al. 1 CPP).</w:t>
      </w:r>
    </w:p>
    <w:p>
      <w:r>
        <w:rPr>
          <w:b/>
        </w:rPr>
        <w:t>E. 6.2</w:t>
      </w:r>
    </w:p>
    <w:p>
      <w:r>
        <w:t>Le défenseur de la prévenue, Me Jean-Michel Duc, a produit une liste détaillée des opérations effectuées en deuxième instance, pour un montant total de 11 heures 30, justifiant avoir dû consacrer personnellement 50 minutes au dossier, en sus du travail de secrétariat (20 minutes), le reste étant réparti entre l'activité déployée par Me Jana Burysek, avocate-stagiaire, et par Me Alexandre Lehmann, collaborateur, l'une faisant état de 3 heures 15 et l'autre se prévalant d'avoir consacré 6 heures 55 à l'étude du dossier, aux recherches juridiques et à la préparation de l'audience d'appel. On précisera d'emblée que compte tenu de la nature publique du mandat qui lui a été conféré, l'avocat nommé d'office n'est pas libre, sauf autorisation expresse de la direction de la procédure, de charger un autre avocat de le remplacer en cours de procédure, ce même s'il s'agit de collaborateurs ou associés au sein de la même étude. Cela étant, il sied de relever que le total de 11 heures 30 est à l'évidence trop élevé. Plus particulièrement, il est injustifié de facturer les opérations découlant du transfert de mandat ("Reprise et étude du dossier"), soit 3 heures, et de se prévaloir d'avoir consacré encore 3 heures 55 à la préparation de l'audience d'appel, alors que tous les arguments exposés aux débats l'ont été dans la déclaration d'appel motivée. Dans la mesure où Me Duc a été consulté pour la fixation de l'audience, il ne saurait en effet faire supporter par sa cliente les frais occasionnés par son remplacement (pièces 76 et 78). A cela s'ajoute qu'il faut appliquer à l'ensemble des opérations menées par Me Burysek, à savoir 3 heures 15, le tarif horaire de 110 fr. (tarif en usage pour les avocats-stagiaires). En conséquence, les opérations effectuées postérieurement au jugement entrepris n'impliquaient nullement une activité de 11 heures 30. Tout bien considéré, c'est un montant de 1'166 fr. 40, TVA comprise, correspondant à 6 heures (au tarif horaire de 180 fr.), qui doit être alloué à</w:t>
      </w:r>
    </w:p>
    <w:p>
      <w:r>
        <w:t>- 20 - titre d'indemnité au défenseur d'office de P.________ pour la procédure d'appel. La prévenue ne sera tenue de rembourser à l’Etat le montant de l’indemnité en faveur de son défenseur d’office prévue ci-dessus que lorsque sa situation financière le permettra (art. 135 al. 4 let. a et 426 al. 4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