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PE08.001996 vom 21. Juli 2011</w:t>
      </w:r>
    </w:p>
    <w:p>
      <w:r>
        <w:t>VD Tribunal cantonal, 2011-07-21, FR</w:t>
      </w:r>
    </w:p>
    <w:p>
      <w:r>
        <w:rPr>
          <w:b/>
        </w:rPr>
        <w:t xml:space="preserve">Quelle: </w:t>
      </w:r>
      <w:r>
        <w:t>https://mcp.opencaselaw.ch/entscheid/vd_gerichte_PE08.001996</w:t>
      </w:r>
    </w:p>
    <w:p>
      <w:r>
        <w:t>FR: VD_GERICHTE PE08.001996 du 21 juillet 2011</w:t>
      </w:r>
    </w:p>
    <w:p>
      <w:r>
        <w:t>IT: VD_GERICHTE PE08.001996 del 21 luglio 2011</w:t>
      </w:r>
    </w:p>
    <w:p>
      <w:pPr>
        <w:pStyle w:val="Heading2"/>
      </w:pPr>
      <w:r>
        <w:t>Erwägungen</w:t>
      </w:r>
    </w:p>
    <w:p>
      <w:r>
        <w:rPr>
          <w:b/>
        </w:rPr>
        <w:t>E. 5</w:t>
      </w:r>
    </w:p>
    <w:p>
      <w:r>
        <w:t>septembre 2008 est admise. Les dispositifs des ordonnances pénales du 12 janvier et du 27 juillet 2009 sont entièrement maintenus. Vu l’issue de la cause, les frais de révision (art. 20 et 21 TFJP [tarif des frais judiciaires pénaux du 28 septembre 2010, RSV 312.03.1],</w:t>
      </w:r>
    </w:p>
    <w:p>
      <w:r>
        <w:t>- 7 - applicables par renvoi de l’art. 22 TFJP), comprenant l’indemnité allouée au défenseur d’office du requérant par 777 fr. 60, TVA comprise (art. 135 al. 1 et 422 al. 2 CPP),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