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PE08.001600 vom 11. März 2015</w:t>
      </w:r>
    </w:p>
    <w:p>
      <w:r>
        <w:t>VD Tribunal cantonal, 2015-03-11, FR</w:t>
      </w:r>
    </w:p>
    <w:p>
      <w:r>
        <w:rPr>
          <w:b/>
        </w:rPr>
        <w:t xml:space="preserve">Quelle: </w:t>
      </w:r>
      <w:r>
        <w:t>https://mcp.opencaselaw.ch/entscheid/vd_gerichte_PE08.001600</w:t>
      </w:r>
    </w:p>
    <w:p>
      <w:r>
        <w:t>FR: VD_GERICHTE PE08.001600 du 11 mars 2015</w:t>
      </w:r>
    </w:p>
    <w:p>
      <w:r>
        <w:t>IT: VD_GERICHTE PE08.001600 del 11 marzo 2015</w:t>
      </w:r>
    </w:p>
    <w:p>
      <w:pPr>
        <w:pStyle w:val="Heading2"/>
      </w:pPr>
      <w:r>
        <w:t>Erwägungen</w:t>
      </w:r>
    </w:p>
    <w:p>
      <w:r>
        <w:rPr>
          <w:b/>
        </w:rPr>
        <w:t>E. 8</w:t>
      </w:r>
    </w:p>
    <w:p>
      <w:r>
        <w:t>h du matin. Contrairement à ses assertions (déclaration d’appel, ch. 7, p. 4), l’appelant n’a consommé ni drogue ni alcool dans le logement de [...], occupé par des personnes qu’il ne connaissait pas ou peu. En effet, aucun témoin ne mentionne un tel fait et la maîtresse des lieux indique qu’ils avaient mangé ensemble, sans faire état de boissons, en tout cas d’une consommation importante (PV aud. 2, p. 2 in medio). Il est au surplus invraisemblable qu’il ait livré des produits à titre professionnel dans l’état ou il dit s’être alors trouvé. Au reste, l’appelant a décrit les circonstances de sa rencontre avec [...] et celles de son départ de l’appartement de cette dernière (PV aud. 4, pp. 2 s.). Cette précision exclut toute carence mnésique quant aux faits survenus dans l’intervalle. Le prévenu a aussi déclaré à l’audience de première instance, qu’il s’était « bien entendu avec Q.________ », qu’il était « allé dans la chambre pour lui dire au revoir », qu’il s’était « dit ensuite (qu’il allait) [s]e reposer un peu » (jugement, p. 9) et qu’il s’était endormi « [a]près être entré dans le lit » (jugement, p. 4). Par surabondance, il est douteux qu’un homme puisse entretenir des rapports sexuels, même partiels, sous l’emprise d’une alcoolisation massive. 3.6 Au vu de ce qui précède, il n’y a aucun doute raisonnable qui permettrait de libérer l’appelant de l’infraction contre l’intégrité sexuelle dont il a à répondre. La suite du mémoire d’appel (Let. B, pp. 5 s.) suppose</w:t>
      </w:r>
    </w:p>
    <w:p>
      <w:r>
        <w:t>- 16 - l’admission préalable du moyen tiré de la libération de l’infraction définie par l’art. 191 CP. Il n’y a pas davantage matière à réparation d’un tort moral en application de l’art. 429 al. 1 let. c CPP, pas plus qu’il n’y a lieu de modifier le sort des frais de première instance. Enfin, la quotité de la peine, adéquate, n’est pas contestée en soi (art. 404 al. 1 CPP). 4. En définitive, l’appel est rejeté. Vu l'issue de la cause, l'émolument d’appel (art. 21 al. 1 et 2 TFIP [Tarif des frais de procédure et indemnités en matière pénale du 28 septembre 2010; RSV 312.03.1]) sera mis à la charge de l’appelant, qui succombe (art. 428 al. 1 CPP). Les frais d’appel comprennent l’indemnité en faveur du défenseur d’office du prévenu (art. 422 al. 1 et al. 2 let. a CPP). Conformément à la liste d’opérations produite, celle-ci doit être arrêtée sur la base d’une durée d’activité de sept heures d’avocat, y compris l’audience d’appel, plus une vacation à 120 fr. et 50 fr. d’autres débours, ainsi que la TVA, soit à 1'544 fr. 40. L’appelant ne sera tenu de rembourser le montant de l’indemnité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