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PE07.026725 vom 4. April 2011</w:t>
      </w:r>
    </w:p>
    <w:p>
      <w:r>
        <w:t>VD Tribunal cantonal, 2011-04-04, FR</w:t>
      </w:r>
    </w:p>
    <w:p>
      <w:r>
        <w:rPr>
          <w:b/>
        </w:rPr>
        <w:t xml:space="preserve">Quelle: </w:t>
      </w:r>
      <w:r>
        <w:t>https://mcp.opencaselaw.ch/entscheid/vd_gerichte_PE07.026725</w:t>
      </w:r>
    </w:p>
    <w:p>
      <w:r>
        <w:t>FR: VD_GERICHTE PE07.026725 du 4 avril 2011</w:t>
      </w:r>
    </w:p>
    <w:p>
      <w:r>
        <w:t>IT: VD_GERICHTE PE07.026725 del 4 aprile 2011</w:t>
      </w:r>
    </w:p>
    <w:p>
      <w:pPr>
        <w:pStyle w:val="Heading2"/>
      </w:pPr>
      <w:r>
        <w:t>Erwägungen</w:t>
      </w:r>
    </w:p>
    <w:p>
      <w:r>
        <w:rPr>
          <w:b/>
        </w:rPr>
        <w:t>E. 4</w:t>
      </w:r>
    </w:p>
    <w:p>
      <w:r>
        <w:t>Il sied de déterminer la durée de l'activité délictueuse de N.________. L'appelant a été renvoyé par ordonnance du 30 juillet 2010 du Juge d'instruction de l'arrondissement de La Côte. Il lui était reproché d'avoir "dès le 21 octobre 2005 et jusqu'au 17 octobre 2007, date de son licenciement, (…) régulièrement gardé pour lui une partie de l'argent.". Lors des débats de première instance, le Ministère public a précisé l'acte d'accusation en ce sens que les faits reprochés ont été commis du 1er janvier 2004 au 17 octobre 2007. Sans se prononcer expressément, il semble que les premiers juges ont retenu (cf. jgt, p. 20, par. 2), après avoir procédé à une aggravation de l’accusation, que l'activité délictueuse de N.________ avait commencé le jour du début de son activité à l’O.________, soit en janvier 2004, et s'était étendue jusqu'au 17 octobre 2007. Il n'a cependant nullement été démontré que le prévenu avait commencé ses détournements dès son engagement. En premier lieu, les remboursements par l’appelant d’une partie de ses dettes sont nettement postérieurs à janvier 2004 (cf. supra c. 3.7). Ensuite, concernant l'année 2004, il apparaît que le total des recettes des horodateurs du site de l'O.________ était de 75'312 fr. 60 (pièces 18/2 et 51). S’il est arrivé que ce total soit notablement supérieur (environ 89'000 fr. en 2003 et plus de 106’000 fr. en 2008), il n’était que</w:t>
      </w:r>
    </w:p>
    <w:p>
      <w:r>
        <w:t>- 20 - légèrement supérieur en 2002 (77'374 fr.). En outre, l’augmentation des recettes totales au fil des années s’explique au moins en partie par l’augmentation très conséquente des recettes attestées par quittances (55 % d’augmentation pour les horodateurs de l’[...] entre 2004 et 2008). Le seul fait qu'à une reprise, soit la semaine n° 46 de l'année 2004, le montant de la quittance du parking de l'[...] ait dépassé celui du versement sur le compte de l'O.________ ne suffit pas à établir que les détournements ont commencé en 2004 déjà. Il en va de même s'agissant des trente-six premières semaines de l'année 2005. En revanche, à partir de la semaine n° 37 de l'année 2005, soit à partir de la collecte du 16 septembre 2005, il devient pratiquement systématique que les montants versés sur le compte de l'O.________ sont inférieurs à ceux mentionnés sur les quittances délivrées par l'horodateur du seul parking de l'[...]. Sur la base de ce qui précède, il convient de constater que l'activité délictueuse de N.________ s’est déroulée de mi-septembre 2005 jusqu’au 17 octobre 2007, ce qui implique l'admission partielle de l'appel.</w:t>
      </w:r>
    </w:p>
    <w:p>
      <w:r>
        <w:rPr>
          <w:b/>
        </w:rPr>
        <w:t>E. 5</w:t>
      </w:r>
    </w:p>
    <w:p>
      <w:r>
        <w:t>La qualification juridique retenue par le jugement du Tribunal correctionnel, et qui n'est pas contestée au stade de l'appel, est correcte. En effet, les pièces de monnaie issues des horodateurs ayant été confiées à celui qui devait les récolter, les trier, les conditionner et les déposer sur le compte de l'O.________, le fait d'en détourner une partie relève de l'abus de confiance et non du vol.</w:t>
      </w:r>
    </w:p>
    <w:p>
      <w:r>
        <w:rPr>
          <w:b/>
        </w:rPr>
        <w:t>E. 6</w:t>
      </w:r>
    </w:p>
    <w:p>
      <w:r>
        <w:t>La peine doit être fixée à nouveau compte tenu de la période d'activité finalement retenue à l'encontre de N.________.</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w:t>
      </w:r>
    </w:p>
    <w:p>
      <w:r>
        <w:t>- 21 -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al. 1 CP fixe le principe et reprend le critère des antécédents et de la situation personnelle. Cet alinéa enjoint encore au juge de prendre en considération l'effet de la peine sur l'avenir du condamné. Cet aspect de prévention spéciale ne permet toutefois que des corrections marginales, la peine devant toujours rester proportionnée à la faute (TF 6B_14/2007 du 17 avril 2007 c. 5.2). Codifiant la jurisprudence rendue sous l'empire de l'ancien droit (art. 63a CP), l'art. 47 al. 2 CP énumère de manière non limitative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"résultat de l'activité illicite" et au "mode et exécution de l'acte" de la jurisprudence (TF 6B_710/2007 du 6 février 2008, c. 3.2 et les références citées). Sur le plan subjectif, le texte légal cite la motivation et les buts de l’auteur, qui correspondent aux mobiles de l’ancien droit (art. 63 aCP), et la mesure dans laquelle l’auteur aurait pu éviter la mise en danger ou la lésion, qui se réfère au libre choix de l’auteur entre la licéité et l’illicéité (ATF 127 IV 101, précité, c. 2a). Concernant ce dernier élément, le législateur enjoint le juge de tenir compte de la situation personnelle de l’intéressé et des circonstances extérieures (TF 6B_143/2007 du 25 juin 2007 c. 8.1).</w:t>
      </w:r>
    </w:p>
    <w:p>
      <w:r>
        <w:rPr>
          <w:b/>
        </w:rPr>
        <w:t>E. 6.2</w:t>
      </w:r>
    </w:p>
    <w:p>
      <w:r>
        <w:t>Pour sanctionner les délits qui ne justifient pas une condamnation à plus de trois cent soixante jours de privation de liberté, le juge a le choix entre les peines privative de liberté et pécuniaire, voire entre ces deux types de peines et le travail d'intérêt général. Conformément à la jurisprudence, il doit, dans ces cas, prononcer le type de peine qui est le mieux à même d'atteindre les buts de la sanction</w:t>
      </w:r>
    </w:p>
    <w:p>
      <w:r>
        <w:t>- 22 - pénale, au regard de ses effets sur la personne et sur l'environnement social du condamné, ainsi que de son efficacité en matière de prévention (ATF 134 IV 97 c. 4.2). Lorsque l'alternative porte exclusivement entre la peine privative de liberté et la peine pécuniaire, le principe de la proportionnalité l'oblige à donner la préférence à la peine pécuniaire, qui a la priorité sur la peine privative de liberté (ATF 134 IV 82 c. 4.1), que si la peine pécuniaire permet de sanctionner la culpabilité de l'auteur de manière équivalente. En cas contraire, il peut prononcer une peine privative de liberté (TF 6B_53/2010 du 22 avril 2010 c. 1.2). Le choix du type de sanction doit être opéré en tenant compte au premier chef de l'adéquation d'une sanction déterminée, de ses effets sur l'auteur et sur sa situation sociale ainsi que de son efficacité du point de vue de la prévention (ATF 134 IV 97, précité, c. 4.2, 82, précité, c. 4.1). La situation économique de l'auteur ou le fait que son insolvabilité apparaît prévisible ne constituent en revanche pas des critères déterminants pour choisir la nature de la sanction (TF 6B_210/2010 du 8 juin 2010 c. 2.2 et les références citées).</w:t>
      </w:r>
    </w:p>
    <w:p>
      <w:r>
        <w:rPr>
          <w:b/>
        </w:rPr>
        <w:t>E. 6.3</w:t>
      </w:r>
    </w:p>
    <w:p>
      <w:r>
        <w:t>Les principes régissant la détermination de la quotité du jour- amende ont été exposés dans l'ATF 134 IV 60 c. 6, auquel on peut se référer. Il en résulte notamment que le montant du jour-amende doit être fixé en partant du revenu net que l'auteur réalise en moyenne quotidiennement. Le montant du jour-amende ne peut être inférieur à 10 francs (ATF 135 IV 180 c. 1.4.2).</w:t>
      </w:r>
    </w:p>
    <w:p>
      <w:r>
        <w:rPr>
          <w:b/>
        </w:rPr>
        <w:t>E. 6.4</w:t>
      </w:r>
    </w:p>
    <w:p>
      <w:r>
        <w:t>En l'espèce, contrairement à l'avis des premiers juges, ni la situation financière difficile de l'appelant, ni la durée de l'activité délictueuse, ni l'absence d'aveux ne peuvent justifier le prononcé d'une peine privative de liberté et il y a lieu de privilégier le prononcé d'une peine pécuniaire conformément à la jurisprudence précitée (cf. supra c. 6.2). N.________ s'est rendu coupable d'abus de confiance sur une période de plus de deux ans et a ainsi causé un préjudice important à son employeur. Il a commis les infractions dont il est reconnu coupable alors</w:t>
      </w:r>
    </w:p>
    <w:p>
      <w:r>
        <w:t>- 23 - qu’il bénéficiait d’une entière confiance de I.________ SA, de l'O.________ et de ses collègues. Ses agissements n'ont cessé que suite à son licenciement et sa responsabilité est pleine et entière. Son casier judiciaire comporte une condamnation à une peine d'emprisonnement de quinze jours avec sursis durant deux ans pour violation d'une obligation d'entretien. Il n'a pas collaboré au cours de l'enquête. A décharge, il sied de prendre en considération l'ancienneté relative de certains faits punissables et la situation économique précaire du prévenu. Dans ces circonstances, la faute de N.________ doit être qualifiée de moyennement grave, celui-ci ayant lésé de manière systématique son employeur sur une relativement longue période et ayant grossièrement trahi sa confiance. Compte tenu de l'ensemble des critères rappelés ci-dessus, une peine de deux cent dix jours-amende paraît adéquate pour sanctionner les agissements de N.________. Quant au montant du jour-amende, au vu de la situation économique de l'intéressé décrite ci-dessus (cf. B/1), il doit être arrêté à 30 francs.</w:t>
      </w:r>
    </w:p>
    <w:p>
      <w:r>
        <w:rPr>
          <w:b/>
        </w:rPr>
        <w:t>E. 7</w:t>
      </w:r>
    </w:p>
    <w:p>
      <w:r>
        <w:t>Le prévenu conteste le montant des dommages-intérêts mis à sa charge.</w:t>
      </w:r>
    </w:p>
    <w:p>
      <w:r>
        <w:rPr>
          <w:b/>
        </w:rPr>
        <w:t>E. 7.1</w:t>
      </w:r>
    </w:p>
    <w:p>
      <w:r>
        <w:t>Il ressort de l'art. 123 al. 1 CPP que dans la mesure du possible, la partie plaignante chiffre ses conclusions civiles dans sa déclaration en vertu de l'art. 119 et les motive par écrit. Elle cite les moyens de preuves qu'elle entend communiquer.</w:t>
      </w:r>
    </w:p>
    <w:p>
      <w:r>
        <w:t>- 24 - Aux termes de l'art. 126 CPP, le tribunal statue également sur les conclusions civiles présentées lorsqu’il rend un verdict de culpabilité à l’encontre du prévenu (al. 1 let. a). Il renvoie la partie plaignante à agir par la voie civile notamment lorsque la partie plaignante n’a pas chiffré ses conclusions de manière suffisamment précise ou ne les a pas suffisamment motivées (al. 2 let. b). Dans le cas où le jugement complet des conclusions civiles exigerait un travail disproportionné, le tribunal peut traiter celles-ci seulement dans leur principe et, pour le surplus, renvoyer la partie plaignante à agir par la voie civile (al. 3). Il convient d'interpréter largement le terme "chiffrer" utilisé par le législateur à l'art. 123 CPP. En vertu de la maxime de disposition, le lésé doit indiquer de façon précise au juge ce qu'il demande: cette exigence recouvre non seulement le chiffrage proprement dit (ainsi s'agissant de prétentions en dommages-intérêts [art. 43 CO], pour tort moral [art. 49 CO]), mais aussi la prise de conclusions individualisées s'il y a lieu. Le devoir de motiver impose principalement au demandeur à l'action civile d'exposer les faits sur lesquels se fondent ses conclusions, ces faits devant permettre d'établir la quotité du dommage et le lien de causalité avec l'infraction poursuivie (Nicolas Jeandin/Henry Matz, in Kuhn/Jeanneret, op. cit., n. 4 et 5 ad art. 123 CPP).</w:t>
      </w:r>
    </w:p>
    <w:p>
      <w:r>
        <w:rPr>
          <w:b/>
        </w:rPr>
        <w:t>E. 7.2</w:t>
      </w:r>
    </w:p>
    <w:p>
      <w:r>
        <w:t>Conformément aux principes généraux, le dommage correspond à la diminution involontaire de la fortune nette. Il peut consister dans une réduction de l'actif, en une augmentation du passif ou dans un gain manqué; il équivaut à la différence entre le montant actuel du patrimoine et le montant que celui-ci aurait atteint si l'événement dommageable ne s'était pas produit (ATF 132 III 186 c. 8.1 et les références citées). Aux termes de l'art. 41 al. 1 CO, celui qui cause, d'une manière illicite, un dommage à autrui, soit intentionnellement, soit par négligence ou imprudence, est tenu de le réparer. Il appartient au demandeur de prouver le dommage subi (art. 42 al. 1 CO), soit sa survenance et son montant. En vertu de l'art. 42 al. 2 CO lorsque le montant exact du</w:t>
      </w:r>
    </w:p>
    <w:p>
      <w:r>
        <w:t>- 25 - dommage ne peut être établi, le juge le détermine équitablement en considération du cours ordinaire des choses et des mesures prises par la partie lésée. Cette disposition s'applique si le préjudice est d'une nature telle qu'il est impossible de l'établir ou si les preuves nécessaires font défaut ou encore si leur administration ne peut être exigée du demandeur (ATF 128 III 271 c. 2b, JT 2003 I 606; ATF 122 III 219 c. 3a, JT 1997 I 246; ATF 105 II 87 c. 1.3, JT 1980 I 17). Elle ne libère toutefois pas le lésé de l'obligation d'alléguer et de prouver tous les faits permettant de conclure à l'existence d'un dommage et qui rendent possible ou facilitent son estimation (ATF 131 III 360 c. 5.1, JT 2005 I 502 et la jurisprudence citée; ATF 128 III 271 c. 2b, JT 2003 I 606; ATF 97 II 216 c. 1, JT 1972 I 466).</w:t>
      </w:r>
    </w:p>
    <w:p>
      <w:r>
        <w:rPr>
          <w:b/>
        </w:rPr>
        <w:t>E. 7.3</w:t>
      </w:r>
    </w:p>
    <w:p>
      <w:r>
        <w:t>En l'occurrence, l'O.________ a procédé à un calcul comparatif des années 2004 à 2007 avec les montants de la fin de l'année 2007 et des années 2008 et 2009 (pièce 72). Il en résulterait une perte moyenne mensuelle de 3'845 fr. 40, à multiplier par les 46 mois durant lesquels le prévenu aurait agi (janvier 2004 à octobre 2007), de telle sorte que le montant du dommage serait de 160'329 fr. 30. Le montant susmentionné ne saurait être retenu comme correspondant à la quotité du dommage. En premier lieu, force est de constater que la durée de l'activité délictueuse de N.________ est inférieure à celle prise en compte par l'O.________ dans la mesure où elle ne s'est finalement étendue que sur vingt-cinq mois d’activité et non quarante-six comme cela a été retenu en première instance. Au demeurant, le calcul du dommage mensuel ne prend nullement en considération la nette augmentation (55 % sur cinq ans) des rentrées financières établies par quittance, au sujet desquelles personne ne prétend qu’il y ait eu détournement. Autrement dit, contrairement aux déclarations de T.________ à l’audience de première instance (jgt, p. 13), il appert qu’il y a eu une très nette évolution de l’occupation du parking de l’[...]. Il serait ainsi arbitraire d’imputer à l’appelant la différence entre le total des rentrées 2006 et 2007 et le total des rentrées 2008 et 2009.</w:t>
      </w:r>
    </w:p>
    <w:p>
      <w:r>
        <w:t>- 26 - Afin de déterminer précisément le dommage subi, il convient en conséquence d’additionner semaine par semaine (du 16 septembre 2005 au 17 octobre 2007), en se fondant sur la pièce 18/2, la différence entre le montant résultant des quittances de l’horodateur et celui déposé sur le compte de l’O.________. Il en résulte un dommage avéré de 21'417 fr. 97. Constatant, dans un deuxième temps, qu’il ressort des chiffres des années 2008 et 2009 que la proportion entre les rentrées des divers parkings est en substance de ¾ pour celui de l’[...] et de ¼ pour les autres parkings, il est nécessaire d’augmenter de 33 % le total obtenu dans la première phase, ce qui porte en définitive le dommage à 28'557 fr. 20 (21'417.97 x 4/3). Au vu de la convention conclue par I.________ SA et l'O.________ (pièce 51) et du versement de 50'000 fr. déjà opéré, la somme de 28'557 fr. 20 avec intérêt à 5 % l'an dès le 1er novembre 2007 sera allouée à I.________ SA. Le dommage de l'O.________ étant couvert par le versement de I.________ SA, les prétentions civiles de l'O.________ seront rejetées.</w:t>
      </w:r>
    </w:p>
    <w:p>
      <w:r>
        <w:rPr>
          <w:b/>
        </w:rPr>
        <w:t>E. 8</w:t>
      </w:r>
    </w:p>
    <w:p>
      <w:r>
        <w:t>En définitive, l'appel doit être partiellement admis et le jugement réformé dans le sens des considérants. Il doit être confirmé pour le surplus. L'appelant ayant obtenu partiellement gain de cause, il se justifie de mettre les frais de procédure, selon l'art. 424 CPP, à raison d'une moitié à sa charge (art. 428 al. 1, 1ère phrase, CPP), le solde restant à la charge de l'Etat. Outre l'émolument, ces frais comprennent l’indemnité d’office allouée au défenseur d'office du prévenu (cf. art. 135 al. 2 et 422 al. 2 let. a CPP ; art. 2 al. 2 ch. 1 TFJP [Tarif des frais judiciaires pénaux, RSV 312.03.1]). Vu l'ampleur et la complexité de la cause, cette indemnité doit être fixée sur la base d'une durée d'activité de six heures par 180 fr. l'heure, TVA de 86 fr. 40 en sus.</w:t>
      </w:r>
    </w:p>
    <w:p>
      <w:r>
        <w:t>- 27 - Le remboursement à l'Etat de l'indemnité due au défenseur d'office de l'intimé sera exigible pour autant que la situation économique de ce dernier se soit améliorée (ATF 135 I 91 c. 2.4, spéc. 2.4.3). L'O.________ n'ayant pas formulé de prétentions relatives à une juste indemnité pour les dépenses obligatoires occasionnées par la procédure au sens de l'art. 433 CPP, la cour de céans n'a pas à examiner cette question.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