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PE07.019036 vom 22. Dezember 2008</w:t>
      </w:r>
    </w:p>
    <w:p>
      <w:r>
        <w:t>VD Tribunal cantonal, 2008-12-22, FR</w:t>
      </w:r>
    </w:p>
    <w:p>
      <w:r>
        <w:rPr>
          <w:b/>
        </w:rPr>
        <w:t xml:space="preserve">Quelle: </w:t>
      </w:r>
      <w:r>
        <w:t>https://mcp.opencaselaw.ch/entscheid/vd_gerichte_PE07.019036</w:t>
      </w:r>
    </w:p>
    <w:p>
      <w:r>
        <w:t>FR: VD_GERICHTE PE07.019036 du 22 décembre 2008</w:t>
      </w:r>
    </w:p>
    <w:p>
      <w:r>
        <w:t>IT: VD_GERICHTE PE07.019036 del 22 dicembre 2008</w:t>
      </w:r>
    </w:p>
    <w:p>
      <w:pPr>
        <w:pStyle w:val="Heading2"/>
      </w:pPr>
      <w:r>
        <w:t>Erwägungen</w:t>
      </w:r>
    </w:p>
    <w:p>
      <w:r>
        <w:rPr>
          <w:b/>
        </w:rPr>
        <w:t>E. 3</w:t>
      </w:r>
    </w:p>
    <w:p>
      <w:r>
        <w:t>En définitive, la demande de révision d’T.________, manifestement mal fondée, doit être déclarée irrecevable.</w:t>
      </w:r>
    </w:p>
    <w:p>
      <w:r>
        <w:rPr>
          <w:b/>
        </w:rPr>
        <w:t>E. 4</w:t>
      </w:r>
    </w:p>
    <w:p>
      <w:r>
        <w:t>Le requérant demande que son avocat soit désigné comme défenseur d’office pour la procédure de révision. Ce dernier a adressé à l’autorité de céans sa liste d’opération faisant état de 15h consacrées au dossier et de 70 fr. à titre de débours.</w:t>
      </w:r>
    </w:p>
    <w:p>
      <w:r>
        <w:t>- 10 -</w:t>
      </w:r>
    </w:p>
    <w:p>
      <w:r>
        <w:rPr>
          <w:b/>
        </w:rPr>
        <w:t>E. 4.1.1</w:t>
      </w:r>
    </w:p>
    <w:p>
      <w:r>
        <w:t>En dehors des cas de défense obligatoire, l’art. 132 al. 1 let. b CPP soumet à deux conditions le droit à l’assistance d’un défenseur d’office : le prévenu doit être indigent et la sauvegarde de ses intérêts doit justifier une telle assistance (art. 132 al. 1 let. b CPP).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Ces deux critères reprennent largement la jurisprudence du Tribunal fédéral en matière d’assistance judiciaire (ATF 128 I 225 consid. 2.5.2 p. 232 s.; 120 Ia 43 consid. 2a p. 44 et les références citées). Lorsque l’assistance judiciaire n’est pas requise par le prévenu au cours de l’instruction ou des débats, mais pour les besoins d’une procédure ultérieure – telle une procédure de révision – l’autorité peut également s’interroger sur les chances de succès d’une telle démarche (ATF 129 I 129 consid. 2.2.2 p. 134; 1B_74/2013 du 9 avril 2013).</w:t>
      </w:r>
    </w:p>
    <w:p>
      <w:r>
        <w:rPr>
          <w:b/>
        </w:rPr>
        <w:t>E. 4.1.2</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w:t>
      </w:r>
    </w:p>
    <w:p>
      <w:r>
        <w:t>- 11 -</w:t>
      </w:r>
    </w:p>
    <w:p>
      <w:r>
        <w:rPr>
          <w:b/>
        </w:rPr>
        <w:t>E. 4.2</w:t>
      </w:r>
    </w:p>
    <w:p>
      <w:r>
        <w:t>En l’occurrence, la consultation du dossier du jugement ordonnant la mesure contestée aurait dû permettre au conseil du requérant de réaliser qu’une procédure de révision était vouée à l’échec. Il convient de n’indemniser que le temps de travail nécessaire à aboutir à cette conclusion, c’est-à-dire le temps consacré à la lecture du dossier et à en conférer avec le client, soit 4 heures. L'indemnité sera dès lors arrêtée à 831 fr. 90, TVA et débours inclus (art. 135 al. 1 CPP).</w:t>
      </w:r>
    </w:p>
    <w:p>
      <w:r>
        <w:rPr>
          <w:b/>
        </w:rPr>
        <w:t>E. 5</w:t>
      </w:r>
    </w:p>
    <w:p>
      <w:r>
        <w:t>Vu l'issue de la cause, les frais de révision, arrêtés à 1’100 fr. (art. 21 TFJP [Tarif des frais judiciaires pénaux du 28 septembre 2010, RSV 312.03.1], par renvoi de l'art. 22 TFJP), ainsi que l’indemnité allouée au défenseur d’office d’T.________ par 831 fr. 90, sont mis à la charge du requérant (art. 428 al. 1 CPP). T.________ ne sera tenu de rembourser le montant de l’indemnité allouée à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