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PE07.013409 vom 9. August 2018</w:t>
      </w:r>
    </w:p>
    <w:p>
      <w:r>
        <w:t>VD Tribunal cantonal, 2018-08-09, FR</w:t>
      </w:r>
    </w:p>
    <w:p>
      <w:r>
        <w:rPr>
          <w:b/>
        </w:rPr>
        <w:t xml:space="preserve">Quelle: </w:t>
      </w:r>
      <w:r>
        <w:t>https://mcp.opencaselaw.ch/entscheid/vd_gerichte_PE07.013409</w:t>
      </w:r>
    </w:p>
    <w:p>
      <w:r>
        <w:t>FR: VD_GERICHTE PE07.013409 du 9 août 2018</w:t>
      </w:r>
    </w:p>
    <w:p>
      <w:r>
        <w:t>IT: VD_GERICHTE PE07.013409 del 9 agosto 2018</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w:t>
      </w:r>
    </w:p>
    <w:p>
      <w:r>
        <w:t>- 4 - d’introduction du Code de procédure pénale suisse ; RSV 312.01] ; art. 80 LOJV [Loi vaudoise d’organisation judiciaire ; RSV 173.01]). Interjeté dans le délai légal par le prévenu, qui a qualité pour recourir en cas de refus d’une indemnisation au sens de l’art. 429 CPP (art. 382 al. 1 CPP), le recours de T.________ est recevable.</w:t>
      </w:r>
    </w:p>
    <w:p>
      <w:r>
        <w:rPr>
          <w:b/>
        </w:rPr>
        <w:t>E. 2.1</w:t>
      </w:r>
    </w:p>
    <w:p>
      <w:r>
        <w:t>Le recourant se plaint d’une violation de son droit d’être entendu, et plus particulièrement d’une violation de l’art. 318 CPP. Il reproche au Procureur d’avoir omis de l’informer de son intention de rendre une ordonnance de classement, l’empêchant ainsi de faire valoir ses prétentions en indemnisation au sens de l’art. 429 CPP.</w:t>
      </w:r>
    </w:p>
    <w:p>
      <w:r>
        <w:rPr>
          <w:b/>
        </w:rPr>
        <w:t>E. 2.2.1</w:t>
      </w:r>
    </w:p>
    <w:p>
      <w:r>
        <w:t>Selon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Dans le même temps, il fixe aux parties un délai pour présenter leurs réquisitions de preuves (al. 1). Il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L’avis de prochaine clôture doit être donné aux parties dans tous les cas, à moins que celles-ci n’y aient expressément renoncé (ATF 144 IV 81 consid. 2.3.3 ; Moreillon/Parein-Reymond, Petit commentaire du Code de procédure pénale, 2e éd., Bâle 2016, n. 6 ad art. 318 CPP). Si le procureur n'a pas respecté les formes prévues à l'art. 318 al. 1 CPP pour la clôture, la décision qu'il rend ensuite (classement, renvoi) est annulable (Moreillon/Parein-Reymond, op. cit., n. 7 ad art. 318 CPP ; Cornu, in : Kuhn/Jeanneret [éd.], Commentaire romand, Code de procédure pénale</w:t>
      </w:r>
    </w:p>
    <w:p>
      <w:r>
        <w:t>- 5 - suisse, Bâle 2011, n. 23 ad art. 318 CPP; TF 1B_59/2012 du 31 mai 2012 consid. 2.1.1 ; CREP 16 septembre 2014/675 consid. 2.1). Si le Procureur entend modifier sa position, il doit rendre un nouvel avis de prochaine clôture (Donatsch/Hansjakob/Lieber [éd.], Kommentar zur Schweizerischen Strafprozessordnung, 2e éd., Zurich/Bâle/Genève 2014, n. 7 ad art. 318 CPP ; Steiner, in: Niggli/Heer/Wiprächtiger [éd.], Basler Kommentar, Schweizerische Strafprozessordnung, 2e éd., Bâle 2014, nn 15 ss ad art. 318 CPP).</w:t>
      </w:r>
    </w:p>
    <w:p>
      <w:r>
        <w:rPr>
          <w:b/>
        </w:rPr>
        <w:t>E. 2.2.2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134 I 83 consid. 4.1 ; ATF 133 III 439 consid. 3.3 ; TF 6B_1410/2017 du 15 juin 2018 consid. 2.1). Lorsque le juge statue sur la base d'une liste de frais, il doit, s'il entend s'en écarter, au moins brièvement indiquer les raisons pour lesquelles il tient certaines prétentions pour injustifiées (TF 6B_1410/2017 du 15 juin 2018 consid. 3.1). En l’absence de motivation sur les activités, réduites ou retranchées, considérées précisément comme inutiles, la Chambre des recours pénale ne peut se substituer au premier juge et rectifier les listes d’opérations en vertu de son pouvoir d’examen sans donner l’occasion à l’intéressé de s’exprimer sur les éventuels motifs permettant de s’écarter de sa liste des opérations (TF 6B_1251/2016 du 19 juillet 2017 consid. 3.3). Le principe du droit d’être entendu étant de nature formelle, toute violation de ce dernier conduit, en principe, à l’annulation de la décision rendue (ATF 122 IV 8 ; ATF 121 I 230).</w:t>
      </w:r>
    </w:p>
    <w:p>
      <w:r>
        <w:t>- 6 -</w:t>
      </w:r>
    </w:p>
    <w:p>
      <w:r>
        <w:rPr>
          <w:b/>
        </w:rPr>
        <w:t>E. 2.3</w:t>
      </w:r>
    </w:p>
    <w:p>
      <w:r>
        <w:t>En l’occurrence, le Procureur a modifié son appréciation et, contrairement à son avis du 3 mars 2017, a rendu une ordonnance de classement, toutefois sans nouvel avis de prochaine clôture et, partant, sans possibilité, pour le recourant, de faire valoir son droit à une indemnité du chef de l’art. 429 CPP, entraînant par là même une violation de son droit d’être entendu. Bien que la Chambre des recours pénale dispose d’un plein pouvoir d’examen, il ne lui appartient pas de réparer la violation du droit d’être entendu constatée (TF 6B_1251/2016 du 19 juillet 2017 déjà cité). Afin que le recourant puisse bénéficier de la garantie de la double instance, il convient bien plutôt d’annuler l’ordonnance du 16 avril 2018 en tant qu’elle concerne les frais de procédure et le refus implicite de l’indemnité à forme de l’art. 429 CPP concernant T.________, et de renvoyer le dossier de la cause au Ministère public de l’arrondissement de l’Est vaudois pour qu’il procède dans le sens des considérants. L’ordonnance sera confirmée pour le surplus.</w:t>
      </w:r>
    </w:p>
    <w:p>
      <w:r>
        <w:rPr>
          <w:b/>
        </w:rPr>
        <w:t>E. 3</w:t>
      </w:r>
    </w:p>
    <w:p>
      <w:r>
        <w:t>Les frais de la procédure de recours, constitués de l'émolument d'arrêt, par 770 fr. (art. 20 al. 1 TFIP [tarif des frais de procédure et indemnités en matière pénale du 28 septembre 2010 ; RSV 312.03.1]), seront laissés à la charge de l’Etat (art. 428 al. 4 CPP). Le recourant T.________, qui a procédé avec l’assistance d’un avocat de choix et qui a obtenu gain de cause, a droit à une pleine indemnité pour les dépenses occasionnées par la procédure de recours (art. 429 al. 1 let. a CPP, applicable par renvoi de l’art. 436 al. 1 CPP). Cette indemnité doit être fondée sur une durée d’activité annoncée de 3h30 d’avocat au tarif horaire de 300 fr. (art. 26a al. 3 TFIP), soit à hauteur de 1'050 fr., débours compris. Ce tarif n’inclut cependant pas de montant correspondant à la TVA. A cet égard, il doit être rappelé que si les indemnités au sens des art. 429 ss CPP ne sont pas soumises à la TVA (art. 18 al. 2 let. i LTVA [Loi fédérale régissant la taxe sur la valeur ajoutée du 12 juin 2009; RS 641.20]), il convient de tenir compte du fait que les honoraires payés par la partie à son avocat sont quant à eux soumis à la</w:t>
      </w:r>
    </w:p>
    <w:p>
      <w:r>
        <w:t>- 7 - TVA (CREP 19 mars 2015/91 consid. 3.1.2). Compte tenu d’un montant de 80 fr. 85 au titre de la TVA, l’indemnité totale s’élève à 1'130 fr. 85. Elle sera laissée à la charge de l’Etat. Par ces motifs, la Chambre des recours pénale prononce : I. Le recours est admis. II. L’ordonnance du 16 avril 2018 est annulée en tant qu’elle concerne les frais de procédure et l’indemnité à forme de l’art. 429 CPP concernant T.________. L’ordonnance est confirmée pour le surplus. III. Le dossier de la cause est renvoyé au Ministère public de l’arrondissement de l’Est vaudois pour nouvelle décision dans le sens des considérants. IV. Les frais d’arrêt, par 770 fr. (sept cent septante francs), sont laissés à la charge de l’Etat. V. Une indemnité de 1'130 fr. 85 (mille cent trente francs et huitante-cinq centimes) est allouée à T.________, à la charge de l’Etat. VI. L’arrêt est exécutoire. Le président : La greffière : Du Le présent arrêt, dont la rédaction a été approuvée à huis clos, est notifié, par l'envoi d'une copie complète, à : - Me Gilles Monnier, avocat (pour T.________), - Ministère public central,</w:t>
      </w:r>
    </w:p>
    <w:p>
      <w:r>
        <w:t>- 8 -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