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PE07.008137 vom 4. November 2008</w:t>
      </w:r>
    </w:p>
    <w:p>
      <w:r>
        <w:t>VD Tribunal cantonal, 2008-11-04, FR</w:t>
      </w:r>
    </w:p>
    <w:p>
      <w:r>
        <w:rPr>
          <w:b/>
        </w:rPr>
        <w:t xml:space="preserve">Quelle: </w:t>
      </w:r>
      <w:r>
        <w:t>https://mcp.opencaselaw.ch/entscheid/vd_gerichte_PE07.008137</w:t>
      </w:r>
    </w:p>
    <w:p>
      <w:r>
        <w:t>FR: VD_GERICHTE PE07.008137 du 4 novembre 2008</w:t>
      </w:r>
    </w:p>
    <w:p>
      <w:r>
        <w:t>IT: VD_GERICHTE PE07.008137 del 4 novembre 2008</w:t>
      </w:r>
    </w:p>
    <w:p>
      <w:pPr>
        <w:pStyle w:val="Heading2"/>
      </w:pPr>
      <w:r>
        <w:t>Erwägungen</w:t>
      </w:r>
    </w:p>
    <w:p>
      <w:r>
        <w:rPr>
          <w:b/>
        </w:rPr>
        <w:t>E. 2</w:t>
      </w:r>
    </w:p>
    <w:p>
      <w:r>
        <w:t>a) La teneur de l'art. 410 al. 1 let. a CPP correspond en réalité aux conditions posées par la jurisprudence rendue en application de l'art. 385 aCP (Message relatif à l'unification de la procédure pénale, FF 2005 1057, spéc. 1303): les faits ou moyens de preuve doivent être inconnus de l'autorité et ils doivent être sérieux. Le caractère inconnu d'un fait ou d'un moyen de preuve implique que cet élément n'ait pas été soumis à l'autorité inférieure sous quelque forme que ce soit. Si le juge, après examen du fait ou du moyen de preuve, n'en a pas déduit les conclusions qu'il fallait ou n'a pas pris</w:t>
      </w:r>
    </w:p>
    <w:p>
      <w:r>
        <w:t>- 6 - conscience de ce que le fait ou le moyen de preuve devait démontrer, le caractère inconnu du fait respectivement du moyen de preuve n'est pas donné. Le fait survenu après jugement dont la révision est demandée n'est pas considéré comme inconnu (Kuhn/Jeanneret, Code de procédure pénale suisse, Marc Rémy in: Commentaire romand, Bâle 2011, n. 10 ad art. 410 CPP; Message relatif à l'unification de la procédure pénale, FF 2005 p. 1303). b) En outre, l'élément nouveau invoqué doit être de nature à motiver l’acquittement ou une condamnation moins sévère, c'est-à-dire qu'il soit sérieux. Il est sérieux lorsqu'il est propre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ou non une réduction de la peine (ATF 130 IV 72 c. 1; ATF 116 IV 353; ATF 109 IV 173; Heer, in : Niggli/Heer/Wiprächtiger, Schweizerische Strafprozessordnung, Basler Kommentar, Bâle 2011, pp. 2716 ss, n. 65 ss, spéc. 66). c) En l'espèce, les rétractations de B.O.________, postérieures au jugement, ne peuvent être considérées comme méconnues des premiers juges. Le fait n'est donc pas nouveau au sens de l'art. 410 al. 1 let. a CPP. Par ailleurs, le moyen de preuve offert sous forme de témoignage écrit n'est pas sérieux. On relève que la lecture du document de rétractation ne convainc nullement la Cour de céans. S'il est indéniable que la victime B.O.________ expose en substance avoir menti au sujet des abus subis, elle paraît avant tout exprimer son inquiétude de voir son père renvoyé hors de Suisse et en déplorer les conséquences pour sa mère et ses frère et sœur. Or, il est notoire que les victimes intrafamiliales, nonobstant ce qu'elles ont pu subir, se sentent injustement à l'origine des désagréments que leur dénonciation a causés au reste de la famille et que, ployant sous le poids de cette fausse responsabilité, elles reviennent sur leurs déclarations.</w:t>
      </w:r>
    </w:p>
    <w:p>
      <w:r>
        <w:t>- 7 - A cela s'ajoute que les déclarations de B.O.________ retenues par le tribunal de première instance ne constituent pas les seuls éléments probatoires sur lesquels il s'est fondé pour condamner le demandeur. Les circonstances de la révélation des faits, la découverte des traces de sperme du demandeur à l'endroit désigné par la victime et l'incapacité d'A.O.________ à fournir une explication cohérente à ce sujet ont également emporté la conviction des premiers juges.</w:t>
      </w:r>
    </w:p>
    <w:p>
      <w:r>
        <w:rPr>
          <w:b/>
        </w:rPr>
        <w:t>E. 3</w:t>
      </w:r>
    </w:p>
    <w:p>
      <w:r>
        <w:t>Il en résulte que le moyen présenté à l'appui de la demande de révision n'est ni nouveau ni de nature à ébranler les constatations de fait des premiers juges. La demande de révision doit être rejetée.</w:t>
      </w:r>
    </w:p>
    <w:p>
      <w:r>
        <w:rPr>
          <w:b/>
        </w:rPr>
        <w:t>E. 4</w:t>
      </w:r>
    </w:p>
    <w:p>
      <w:r>
        <w:t>Vu l'issue de la cause, les frais de révision (art. 21, par renvoi de l'art. 22 du TFJP [Tarif des frais judiciaires pénaux, RSV 312.03.1]) sont mis à la charge d'A.O.________ (art. 428 al. 1 CPP). Il n'y a pas matière à allouer de dépens, le conseil des plaignantes s'en étant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